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BA12F" w14:textId="77777777" w:rsidR="00CD4740" w:rsidRPr="00FC19E5" w:rsidRDefault="00CD4740" w:rsidP="00CD4740">
      <w:pPr>
        <w:pStyle w:val="Heading1"/>
        <w:spacing w:before="0"/>
      </w:pPr>
      <w:r w:rsidRPr="00FC19E5">
        <w:t>Consultation paper: combating phoenix activities</w:t>
      </w:r>
    </w:p>
    <w:p w14:paraId="789381E8" w14:textId="77777777" w:rsidR="00CD4740" w:rsidRPr="00FC19E5" w:rsidRDefault="00CD4740" w:rsidP="00CD4740">
      <w:pPr>
        <w:pStyle w:val="Fullout"/>
      </w:pPr>
      <w:r w:rsidRPr="00FC19E5">
        <w:t>The Federal Government has released a consultation paper proposing company and tax law reforms to combat phoenix activities.</w:t>
      </w:r>
    </w:p>
    <w:p w14:paraId="4DEB8875" w14:textId="77777777" w:rsidR="00CD4740" w:rsidRPr="00FC19E5" w:rsidRDefault="00CD4740" w:rsidP="00CD4740">
      <w:pPr>
        <w:pStyle w:val="Fullout"/>
      </w:pPr>
      <w:r w:rsidRPr="00FC19E5">
        <w:t>Phoenix activities involve stripping assets from a company that’s in debt and transferring them to another company to avoid paying the first company’s liabilities – that is, the new company “rises from the ashes” of the old one.</w:t>
      </w:r>
    </w:p>
    <w:p w14:paraId="5FDECEFD" w14:textId="77777777" w:rsidR="00CD4740" w:rsidRPr="00FC19E5" w:rsidRDefault="00CD4740" w:rsidP="00CD4740">
      <w:pPr>
        <w:pStyle w:val="Fullout"/>
      </w:pPr>
      <w:r w:rsidRPr="00FC19E5">
        <w:t>The government is considering a range of ways to combat this type of activity, including setting up a hotline for phoenix reporting</w:t>
      </w:r>
      <w:r>
        <w:t>,</w:t>
      </w:r>
      <w:r w:rsidRPr="00FC19E5">
        <w:t xml:space="preserve"> adding phoenixing to the offences specifically prohibit</w:t>
      </w:r>
      <w:r>
        <w:t xml:space="preserve">ed under the </w:t>
      </w:r>
      <w:r w:rsidRPr="00B179D2">
        <w:rPr>
          <w:i/>
        </w:rPr>
        <w:t>Corporations Act 2001</w:t>
      </w:r>
      <w:r>
        <w:t>,</w:t>
      </w:r>
      <w:r w:rsidRPr="00FC19E5">
        <w:t xml:space="preserve"> making directors personally l</w:t>
      </w:r>
      <w:r>
        <w:t>iable for companies’ unpaid GST,</w:t>
      </w:r>
      <w:r w:rsidRPr="00FC19E5">
        <w:t xml:space="preserve"> and limiting the ability for sole</w:t>
      </w:r>
      <w:r>
        <w:t xml:space="preserve"> directors to resign unless there is a replacement director</w:t>
      </w:r>
      <w:r w:rsidRPr="00FC19E5">
        <w:t xml:space="preserve"> or the company is wound up.</w:t>
      </w:r>
    </w:p>
    <w:p w14:paraId="01B79BA0" w14:textId="77777777" w:rsidR="00CD4740" w:rsidRPr="00FC19E5" w:rsidRDefault="00CD4740" w:rsidP="00CD4740">
      <w:pPr>
        <w:pStyle w:val="Heading1"/>
      </w:pPr>
      <w:r w:rsidRPr="00FC19E5">
        <w:t>New passive income test for lower corporate tax rate</w:t>
      </w:r>
    </w:p>
    <w:p w14:paraId="7BDA092F" w14:textId="77777777" w:rsidR="00CD4740" w:rsidRDefault="00CD4740" w:rsidP="00CD4740">
      <w:pPr>
        <w:pStyle w:val="Fullout"/>
      </w:pPr>
      <w:r w:rsidRPr="005B051D">
        <w:t xml:space="preserve">The </w:t>
      </w:r>
      <w:r>
        <w:t xml:space="preserve">Federal Government has </w:t>
      </w:r>
      <w:r w:rsidRPr="005B051D">
        <w:t xml:space="preserve">recently introduced a </w:t>
      </w:r>
      <w:r>
        <w:t>Bill into Parliament to ensure</w:t>
      </w:r>
      <w:r w:rsidRPr="005B051D">
        <w:t xml:space="preserve"> </w:t>
      </w:r>
      <w:r>
        <w:t xml:space="preserve">that </w:t>
      </w:r>
      <w:r w:rsidRPr="005B051D">
        <w:t>compan</w:t>
      </w:r>
      <w:r>
        <w:t xml:space="preserve">ies with more than 80% passive income will not qualify for the reduced company </w:t>
      </w:r>
      <w:r w:rsidRPr="005B051D">
        <w:t>t</w:t>
      </w:r>
      <w:r>
        <w:t>ax rate.</w:t>
      </w:r>
    </w:p>
    <w:p w14:paraId="769F5BE4" w14:textId="77777777" w:rsidR="00CD4740" w:rsidRDefault="00CD4740" w:rsidP="00CD4740">
      <w:pPr>
        <w:pStyle w:val="Fullout"/>
      </w:pPr>
      <w:r>
        <w:t>Under the Bill’s changes to the</w:t>
      </w:r>
      <w:r w:rsidRPr="00FC19E5">
        <w:t xml:space="preserve"> </w:t>
      </w:r>
      <w:r w:rsidRPr="00FC19E5">
        <w:rPr>
          <w:i/>
          <w:iCs/>
        </w:rPr>
        <w:t>Income Tax Rates Act 1986</w:t>
      </w:r>
      <w:r>
        <w:t>, calculations of a business’s “passive income” would include:</w:t>
      </w:r>
    </w:p>
    <w:p w14:paraId="5A95287F" w14:textId="77777777" w:rsidR="00CD4740" w:rsidRPr="00CA6BB3" w:rsidRDefault="00CD4740" w:rsidP="00CD4740">
      <w:pPr>
        <w:pStyle w:val="ListBullet1"/>
        <w:ind w:left="357" w:hanging="357"/>
      </w:pPr>
      <w:r w:rsidRPr="00CA6BB3">
        <w:t>distributions by corporate tax entities (other than non-portfolio dividends);</w:t>
      </w:r>
    </w:p>
    <w:p w14:paraId="273F74EB" w14:textId="77777777" w:rsidR="00CD4740" w:rsidRPr="00CA6BB3" w:rsidRDefault="00CD4740" w:rsidP="00CD4740">
      <w:pPr>
        <w:pStyle w:val="ListBullet1"/>
        <w:ind w:left="357" w:hanging="357"/>
      </w:pPr>
      <w:r w:rsidRPr="00CA6BB3">
        <w:t>franking credits attached to such distributions;</w:t>
      </w:r>
    </w:p>
    <w:p w14:paraId="48751A9C" w14:textId="77777777" w:rsidR="00CD4740" w:rsidRPr="00CA6BB3" w:rsidRDefault="00CD4740" w:rsidP="00CD4740">
      <w:pPr>
        <w:pStyle w:val="ListBullet1"/>
        <w:ind w:left="357" w:hanging="357"/>
      </w:pPr>
      <w:r w:rsidRPr="00CA6BB3">
        <w:t>non-share dividends;</w:t>
      </w:r>
    </w:p>
    <w:p w14:paraId="4F8AB833" w14:textId="77777777" w:rsidR="00CD4740" w:rsidRPr="00CA6BB3" w:rsidRDefault="00CD4740" w:rsidP="00CD4740">
      <w:pPr>
        <w:pStyle w:val="ListBullet1"/>
        <w:ind w:left="357" w:hanging="357"/>
      </w:pPr>
      <w:r w:rsidRPr="00CA6BB3">
        <w:t>interest;</w:t>
      </w:r>
    </w:p>
    <w:p w14:paraId="17C95B17" w14:textId="77777777" w:rsidR="00CD4740" w:rsidRPr="00CA6BB3" w:rsidRDefault="00CD4740" w:rsidP="00CD4740">
      <w:pPr>
        <w:pStyle w:val="ListBullet1"/>
        <w:ind w:left="357" w:hanging="357"/>
      </w:pPr>
      <w:r w:rsidRPr="00CA6BB3">
        <w:t>royalties;</w:t>
      </w:r>
    </w:p>
    <w:p w14:paraId="22B83DAD" w14:textId="77777777" w:rsidR="00CD4740" w:rsidRPr="00CA6BB3" w:rsidRDefault="00CD4740" w:rsidP="00CD4740">
      <w:pPr>
        <w:pStyle w:val="ListBullet1"/>
        <w:ind w:left="357" w:hanging="357"/>
      </w:pPr>
      <w:r w:rsidRPr="00CA6BB3">
        <w:t>rent;</w:t>
      </w:r>
    </w:p>
    <w:p w14:paraId="1122D1CB" w14:textId="77777777" w:rsidR="00CD4740" w:rsidRPr="00CA6BB3" w:rsidRDefault="00CD4740" w:rsidP="00CD4740">
      <w:pPr>
        <w:pStyle w:val="ListBullet1"/>
        <w:ind w:left="357" w:hanging="357"/>
      </w:pPr>
      <w:r w:rsidRPr="00CA6BB3">
        <w:t>gain on qualifying securities;</w:t>
      </w:r>
    </w:p>
    <w:p w14:paraId="7FD71835" w14:textId="77777777" w:rsidR="00CD4740" w:rsidRPr="00CA6BB3" w:rsidRDefault="00CD4740" w:rsidP="00CD4740">
      <w:pPr>
        <w:pStyle w:val="ListBullet1"/>
        <w:ind w:left="357" w:hanging="357"/>
      </w:pPr>
      <w:r w:rsidRPr="00CA6BB3">
        <w:rPr>
          <w:rStyle w:val="FulloutChar"/>
        </w:rPr>
        <w:t>net capital gains</w:t>
      </w:r>
      <w:r w:rsidRPr="00CA6BB3">
        <w:t>; and</w:t>
      </w:r>
    </w:p>
    <w:p w14:paraId="79C8A3AF" w14:textId="77777777" w:rsidR="00CD4740" w:rsidRPr="002966CC" w:rsidRDefault="00CD4740" w:rsidP="00CD4740">
      <w:pPr>
        <w:pStyle w:val="ListBullet1"/>
        <w:ind w:left="357" w:hanging="357"/>
      </w:pPr>
      <w:r w:rsidRPr="002966CC">
        <w:t>amount</w:t>
      </w:r>
      <w:r>
        <w:t>s</w:t>
      </w:r>
      <w:r w:rsidRPr="002966CC">
        <w:t xml:space="preserve"> included in the assessable income of partner</w:t>
      </w:r>
      <w:r>
        <w:t>s</w:t>
      </w:r>
      <w:r w:rsidRPr="002966CC">
        <w:t xml:space="preserve"> in a partnership or beneficiar</w:t>
      </w:r>
      <w:r>
        <w:t>ies</w:t>
      </w:r>
      <w:r w:rsidRPr="002966CC">
        <w:t xml:space="preserve"> of a trust estate </w:t>
      </w:r>
      <w:r>
        <w:t xml:space="preserve">that are </w:t>
      </w:r>
      <w:r w:rsidRPr="002966CC">
        <w:t>referable to another base rate entity passive income amount.</w:t>
      </w:r>
    </w:p>
    <w:p w14:paraId="213C6949" w14:textId="77777777" w:rsidR="00CD4740" w:rsidRDefault="00CD4740" w:rsidP="00CD4740">
      <w:pPr>
        <w:pStyle w:val="Fullout"/>
      </w:pPr>
      <w:r>
        <w:lastRenderedPageBreak/>
        <w:t>At the time of writing, the Bill is still before the Parliament. When passed, it will apply from the 2017–2018 income year.</w:t>
      </w:r>
    </w:p>
    <w:p w14:paraId="259FE0F9" w14:textId="77777777" w:rsidR="00CD4740" w:rsidRDefault="00CD4740" w:rsidP="00CD4740">
      <w:pPr>
        <w:pStyle w:val="Fullout"/>
      </w:pPr>
      <w:r>
        <w:t>The lower company tax rate of 27.5% is available in 2017–2018 for small businesses and corporate base rate entities with turnover of less than $25 million.</w:t>
      </w:r>
    </w:p>
    <w:p w14:paraId="018686EE" w14:textId="77777777" w:rsidR="00CD4740" w:rsidRPr="003E166D" w:rsidRDefault="00CD4740" w:rsidP="00CD4740">
      <w:pPr>
        <w:pStyle w:val="TipBox"/>
      </w:pPr>
      <w:r>
        <w:rPr>
          <w:rStyle w:val="TIPCAPS"/>
        </w:rPr>
        <w:t>tip:</w:t>
      </w:r>
      <w:r>
        <w:t xml:space="preserve"> You must also “carry on a business” to be eligible for the lower corporate tax rate – read on to find out more about what this means for companies.</w:t>
      </w:r>
    </w:p>
    <w:p w14:paraId="20F2FD1A" w14:textId="77777777" w:rsidR="00CD4740" w:rsidRPr="00D42D9F" w:rsidRDefault="00CD4740" w:rsidP="00CD4740">
      <w:pPr>
        <w:pStyle w:val="Heading1"/>
      </w:pPr>
      <w:r>
        <w:t>ATO guidance: what is “</w:t>
      </w:r>
      <w:r w:rsidRPr="00D42D9F">
        <w:t>carrying on</w:t>
      </w:r>
      <w:r>
        <w:t xml:space="preserve"> a business”?</w:t>
      </w:r>
    </w:p>
    <w:p w14:paraId="24E4A178" w14:textId="77777777" w:rsidR="00CD4740" w:rsidRPr="00FC19E5" w:rsidRDefault="00CD4740" w:rsidP="00CD4740">
      <w:pPr>
        <w:pStyle w:val="Fullout"/>
      </w:pPr>
      <w:r w:rsidRPr="00FC19E5">
        <w:t>The ATO has issued a draft taxation ruling to explain the factors it will consider when deciding whether a company (incorporated under the Corporations Act 2001) is “carrying on a business”. This is one of the tests companies and small businesses must pass to be eligible for the lower corporate tax rate.</w:t>
      </w:r>
    </w:p>
    <w:p w14:paraId="72134175" w14:textId="77777777" w:rsidR="00CD4740" w:rsidRPr="00FC19E5" w:rsidRDefault="00CD4740" w:rsidP="00CD4740">
      <w:pPr>
        <w:pStyle w:val="Fullout"/>
      </w:pPr>
      <w:r w:rsidRPr="00FC19E5">
        <w:t>It’s not possible to definitively state whether a company carries on a business, but the draft ruling says that ATO will consider a range of indicating factors. Specifically, a company is likely to be carrying on a business if it:</w:t>
      </w:r>
    </w:p>
    <w:p w14:paraId="67C32B49" w14:textId="77777777" w:rsidR="00CD4740" w:rsidRPr="00CA6BB3" w:rsidRDefault="00CD4740" w:rsidP="00CD4740">
      <w:pPr>
        <w:pStyle w:val="ListBullet1"/>
      </w:pPr>
      <w:r>
        <w:t>is</w:t>
      </w:r>
      <w:r w:rsidRPr="00CA6BB3">
        <w:t xml:space="preserve"> established and maintained to make a profit for </w:t>
      </w:r>
      <w:r>
        <w:t>its</w:t>
      </w:r>
      <w:r w:rsidRPr="00CA6BB3">
        <w:t xml:space="preserve"> shareholders; and</w:t>
      </w:r>
    </w:p>
    <w:p w14:paraId="456088D4" w14:textId="77777777" w:rsidR="00CD4740" w:rsidRPr="00CA6BB3" w:rsidRDefault="00CD4740" w:rsidP="00CD4740">
      <w:pPr>
        <w:pStyle w:val="ListBullet1"/>
      </w:pPr>
      <w:r w:rsidRPr="00CA6BB3">
        <w:t>invest</w:t>
      </w:r>
      <w:r>
        <w:t>s</w:t>
      </w:r>
      <w:r w:rsidRPr="00CA6BB3">
        <w:t xml:space="preserve"> </w:t>
      </w:r>
      <w:r>
        <w:t>its</w:t>
      </w:r>
      <w:r w:rsidRPr="00CA6BB3">
        <w:t xml:space="preserve"> assets in gainful activities that have both a purpose and prospect of profit.</w:t>
      </w:r>
    </w:p>
    <w:p w14:paraId="236E09C7" w14:textId="77777777" w:rsidR="00CD4740" w:rsidRPr="001239CF" w:rsidRDefault="00CD4740" w:rsidP="00CD4740">
      <w:pPr>
        <w:pStyle w:val="TipBox"/>
      </w:pPr>
      <w:r>
        <w:rPr>
          <w:rStyle w:val="TIPCAPS"/>
        </w:rPr>
        <w:t>tip:</w:t>
      </w:r>
      <w:r w:rsidRPr="001239CF">
        <w:t xml:space="preserve"> </w:t>
      </w:r>
      <w:r>
        <w:t>Wondering whether you can access the reduced corporate tax rate? Talk to us today to find out more about how the passive income and carrying on a business tests apply to your situation.</w:t>
      </w:r>
    </w:p>
    <w:p w14:paraId="4F79EC30" w14:textId="77777777" w:rsidR="00CD4740" w:rsidRPr="00D42D9F" w:rsidRDefault="00CD4740" w:rsidP="00CD4740">
      <w:pPr>
        <w:pStyle w:val="Heading1"/>
      </w:pPr>
      <w:r>
        <w:t>Total superannuation balances and p</w:t>
      </w:r>
      <w:r w:rsidRPr="00D42D9F">
        <w:t>ension transfer balance account reports</w:t>
      </w:r>
    </w:p>
    <w:p w14:paraId="1366BF90" w14:textId="77777777" w:rsidR="00CD4740" w:rsidRDefault="00CD4740" w:rsidP="00CD4740">
      <w:pPr>
        <w:pStyle w:val="Fullout"/>
        <w:spacing w:line="240" w:lineRule="exact"/>
      </w:pPr>
      <w:r w:rsidRPr="00D91B40">
        <w:t xml:space="preserve">The concept of a person’s “total superannuation balance” is now being used to determine whether you are eligible for various super concessions, including the $1.6 million balance limit for non-concessional contributions, </w:t>
      </w:r>
      <w:r>
        <w:t xml:space="preserve">Federal </w:t>
      </w:r>
      <w:r w:rsidRPr="00D91B40">
        <w:t>Government co-contributions, the spouse contributions tax offset, carry</w:t>
      </w:r>
      <w:r>
        <w:t xml:space="preserve">ing </w:t>
      </w:r>
      <w:r w:rsidRPr="00D91B40">
        <w:t>forward unused conce</w:t>
      </w:r>
      <w:r>
        <w:t xml:space="preserve">ssional contributions and </w:t>
      </w:r>
      <w:r w:rsidRPr="00D91B40">
        <w:t>self managed superannuation fund (SMSF) segregation.</w:t>
      </w:r>
    </w:p>
    <w:p w14:paraId="67CFADC9" w14:textId="77777777" w:rsidR="00CD4740" w:rsidRPr="00D91B40" w:rsidRDefault="00CD4740" w:rsidP="00CD4740">
      <w:pPr>
        <w:pStyle w:val="Fullout"/>
        <w:spacing w:line="240" w:lineRule="exact"/>
      </w:pPr>
      <w:r w:rsidRPr="00D91B40">
        <w:lastRenderedPageBreak/>
        <w:t xml:space="preserve">The ATO has </w:t>
      </w:r>
      <w:r>
        <w:t xml:space="preserve">recently </w:t>
      </w:r>
      <w:r w:rsidRPr="00D91B40">
        <w:t>agreed to modify the reporting obligation for total superannuation balances, reco</w:t>
      </w:r>
      <w:r>
        <w:t>gnising that some funds are not</w:t>
      </w:r>
      <w:r w:rsidRPr="00D91B40">
        <w:t xml:space="preserve"> in a position to correctly report their correct accumulatio</w:t>
      </w:r>
      <w:r>
        <w:t>n phase value for 30 June 2017.</w:t>
      </w:r>
    </w:p>
    <w:p w14:paraId="254AD3E2" w14:textId="77777777" w:rsidR="00CD4740" w:rsidRDefault="00CD4740" w:rsidP="00CD4740">
      <w:pPr>
        <w:pStyle w:val="Fullout"/>
        <w:spacing w:line="240" w:lineRule="exact"/>
      </w:pPr>
      <w:r>
        <w:t xml:space="preserve">The ATO has also set out when </w:t>
      </w:r>
      <w:r w:rsidRPr="002966CC">
        <w:t>superannuation provider</w:t>
      </w:r>
      <w:r>
        <w:t xml:space="preserve">s and life insurance companies must lodge </w:t>
      </w:r>
      <w:r w:rsidRPr="002966CC">
        <w:t>transfer balance account report</w:t>
      </w:r>
      <w:r>
        <w:t xml:space="preserve">s. The ATO will use the reports to </w:t>
      </w:r>
      <w:r w:rsidRPr="0015596C">
        <w:t>determine if individual</w:t>
      </w:r>
      <w:r>
        <w:t>s have</w:t>
      </w:r>
      <w:r w:rsidRPr="0015596C">
        <w:t xml:space="preserve"> exceeded their pension transfer balance cap</w:t>
      </w:r>
      <w:r>
        <w:t>.</w:t>
      </w:r>
    </w:p>
    <w:p w14:paraId="42AF531A" w14:textId="77777777" w:rsidR="00CD4740" w:rsidRDefault="00CD4740" w:rsidP="00CD4740">
      <w:pPr>
        <w:pStyle w:val="Fullout"/>
        <w:spacing w:line="240" w:lineRule="exact"/>
      </w:pPr>
      <w:r>
        <w:t>A</w:t>
      </w:r>
      <w:r w:rsidRPr="002966CC">
        <w:t xml:space="preserve">n administrative concession will be provided for </w:t>
      </w:r>
      <w:r>
        <w:t>self managed superannuation funds (</w:t>
      </w:r>
      <w:r w:rsidRPr="002966CC">
        <w:t>SMSFs</w:t>
      </w:r>
      <w:r>
        <w:t>), allowing later reporting</w:t>
      </w:r>
      <w:r w:rsidRPr="002966CC">
        <w:t xml:space="preserve"> to </w:t>
      </w:r>
      <w:r>
        <w:t>help the funds</w:t>
      </w:r>
      <w:r w:rsidRPr="002966CC">
        <w:t xml:space="preserve"> transition to event-based transfer balance cap reporting</w:t>
      </w:r>
      <w:r>
        <w:t>.</w:t>
      </w:r>
    </w:p>
    <w:p w14:paraId="5B13E9A8" w14:textId="77777777" w:rsidR="00CD4740" w:rsidRPr="008E4585" w:rsidRDefault="00CD4740" w:rsidP="00CD4740">
      <w:pPr>
        <w:pStyle w:val="TipBox"/>
        <w:rPr>
          <w:rStyle w:val="TIPCAPS"/>
        </w:rPr>
      </w:pPr>
      <w:r>
        <w:rPr>
          <w:rStyle w:val="TIPCAPS"/>
        </w:rPr>
        <w:t>TIP:</w:t>
      </w:r>
      <w:r w:rsidRPr="008E4585">
        <w:t xml:space="preserve"> </w:t>
      </w:r>
      <w:r>
        <w:t>Super shouldn’t be a “set and forget” arrangement. It’s important to revisit your strategy and consider it carefully, especially in light of the wide range of super changes announced in this year’s Federal Budget.</w:t>
      </w:r>
    </w:p>
    <w:p w14:paraId="25F7AA60" w14:textId="77777777" w:rsidR="00CD4740" w:rsidRPr="00D42D9F" w:rsidRDefault="00CD4740" w:rsidP="00CD4740">
      <w:pPr>
        <w:pStyle w:val="Heading1"/>
      </w:pPr>
      <w:r w:rsidRPr="00D42D9F">
        <w:t>Fringe benefits tax: should an Uber be treated as a taxi?</w:t>
      </w:r>
    </w:p>
    <w:p w14:paraId="294FDE46" w14:textId="77777777" w:rsidR="00CD4740" w:rsidRDefault="00CD4740" w:rsidP="00CD4740">
      <w:pPr>
        <w:pStyle w:val="Fullout"/>
      </w:pPr>
      <w:r>
        <w:t>Earlier in 2017, the Federal Court ruled that U</w:t>
      </w:r>
      <w:r w:rsidRPr="008A3AAF">
        <w:t xml:space="preserve">berX drivers </w:t>
      </w:r>
      <w:r>
        <w:t>must</w:t>
      </w:r>
      <w:r w:rsidRPr="008A3AAF">
        <w:t xml:space="preserve"> be registered for GST</w:t>
      </w:r>
      <w:r>
        <w:t>,</w:t>
      </w:r>
      <w:r w:rsidRPr="008A3AAF">
        <w:t xml:space="preserve"> </w:t>
      </w:r>
      <w:r>
        <w:t>because</w:t>
      </w:r>
      <w:r w:rsidRPr="008A3AAF">
        <w:t xml:space="preserve"> they supply </w:t>
      </w:r>
      <w:r>
        <w:t>“</w:t>
      </w:r>
      <w:r w:rsidRPr="008A3AAF">
        <w:t>taxi travel</w:t>
      </w:r>
      <w:r>
        <w:t>”. There has been much discussion of this finding since, and the ATO is now examining whether Uber trips should be eligible for the “taxi travel” FBT exemption.</w:t>
      </w:r>
    </w:p>
    <w:p w14:paraId="780EDC26" w14:textId="77777777" w:rsidR="00CD4740" w:rsidRPr="00794365" w:rsidRDefault="00CD4740" w:rsidP="00CD4740">
      <w:pPr>
        <w:pStyle w:val="Fullout"/>
        <w:rPr>
          <w:b/>
        </w:rPr>
      </w:pPr>
      <w:r>
        <w:t>The FBT exemption, introduced in 1995, currently only applies to</w:t>
      </w:r>
      <w:r w:rsidRPr="002966CC">
        <w:t xml:space="preserve"> travel in a vehicle </w:t>
      </w:r>
      <w:r>
        <w:t>that is state or territory licensed to operate as a taxi. However, with the Federal Court’s decision on GST for Uber, and some recent state and territory moves towards licensing changes, the ATO has decided to review its interpretation of the definition of “taxi” in the FBT law.</w:t>
      </w:r>
    </w:p>
    <w:p w14:paraId="6D208AE6" w14:textId="77777777" w:rsidR="00CD4740" w:rsidRDefault="00CD4740" w:rsidP="00CD4740">
      <w:pPr>
        <w:pStyle w:val="TipBox"/>
      </w:pPr>
      <w:r w:rsidRPr="00342400">
        <w:rPr>
          <w:rStyle w:val="TIPCAPS"/>
        </w:rPr>
        <w:t>TIP:</w:t>
      </w:r>
      <w:r>
        <w:t xml:space="preserve"> </w:t>
      </w:r>
      <w:r w:rsidRPr="00342400">
        <w:t xml:space="preserve">Any benefit arising from </w:t>
      </w:r>
      <w:r>
        <w:t>taxi travel by an employee is</w:t>
      </w:r>
      <w:r w:rsidRPr="00342400">
        <w:t xml:space="preserve"> exempt </w:t>
      </w:r>
      <w:r>
        <w:t xml:space="preserve">from FBT </w:t>
      </w:r>
      <w:r w:rsidRPr="00342400">
        <w:t xml:space="preserve">if the travel is a single trip </w:t>
      </w:r>
      <w:r>
        <w:t xml:space="preserve">that </w:t>
      </w:r>
      <w:r w:rsidRPr="00342400">
        <w:t>begin</w:t>
      </w:r>
      <w:r>
        <w:t>s</w:t>
      </w:r>
      <w:r w:rsidRPr="00342400">
        <w:t xml:space="preserve"> or end</w:t>
      </w:r>
      <w:r>
        <w:t>s at the employee’</w:t>
      </w:r>
      <w:r w:rsidRPr="00342400">
        <w:t xml:space="preserve">s </w:t>
      </w:r>
      <w:r>
        <w:t>work</w:t>
      </w:r>
      <w:r w:rsidRPr="00342400">
        <w:t>place.</w:t>
      </w:r>
    </w:p>
    <w:p w14:paraId="59FE6A0A" w14:textId="1036D568" w:rsidR="0033732E" w:rsidRDefault="00CD4740" w:rsidP="00CD4740">
      <w:pPr>
        <w:pStyle w:val="Fullout"/>
        <w:spacing w:line="240" w:lineRule="exact"/>
      </w:pPr>
      <w:r>
        <w:t>In a discussion paper open for comment until late October, the ATO has asked questions such as, “S</w:t>
      </w:r>
      <w:r w:rsidRPr="002966CC">
        <w:t xml:space="preserve">hould the FBT definition of </w:t>
      </w:r>
      <w:r>
        <w:t>‘</w:t>
      </w:r>
      <w:r w:rsidRPr="002966CC">
        <w:t>taxi</w:t>
      </w:r>
      <w:r>
        <w:t>’</w:t>
      </w:r>
      <w:r w:rsidRPr="002966CC">
        <w:t xml:space="preserve"> be interpreted to include not just vehicles licensed to provide taxi services</w:t>
      </w:r>
      <w:r>
        <w:t xml:space="preserve"> … [but also] </w:t>
      </w:r>
      <w:r w:rsidRPr="002966CC">
        <w:t>ride-sourcing vehicles and other vehicles for hire?</w:t>
      </w:r>
      <w:r>
        <w:t>”</w:t>
      </w:r>
      <w:bookmarkStart w:id="0" w:name="_GoBack"/>
      <w:bookmarkEnd w:id="0"/>
    </w:p>
    <w:p w14:paraId="2E729C67" w14:textId="77777777" w:rsidR="00CD4740" w:rsidRPr="004C348E" w:rsidRDefault="00CD4740" w:rsidP="00CD4740">
      <w:pPr>
        <w:pStyle w:val="TipBox"/>
        <w:rPr>
          <w:lang w:val="en-US"/>
        </w:rPr>
      </w:pPr>
      <w:r w:rsidRPr="00FC2257">
        <w:rPr>
          <w:rStyle w:val="TIPCAPS"/>
        </w:rPr>
        <w:t>TIP:</w:t>
      </w:r>
      <w:r>
        <w:rPr>
          <w:lang w:val="en-US"/>
        </w:rPr>
        <w:t xml:space="preserve"> </w:t>
      </w:r>
      <w:r w:rsidRPr="004C348E">
        <w:rPr>
          <w:lang w:val="en-US"/>
        </w:rPr>
        <w:t>Any benefit arising from</w:t>
      </w:r>
      <w:r>
        <w:rPr>
          <w:lang w:val="en-US"/>
        </w:rPr>
        <w:t xml:space="preserve"> an employee’s</w:t>
      </w:r>
      <w:r w:rsidRPr="004C348E">
        <w:rPr>
          <w:lang w:val="en-US"/>
        </w:rPr>
        <w:t xml:space="preserve"> taxi </w:t>
      </w:r>
      <w:r>
        <w:rPr>
          <w:lang w:val="en-US"/>
        </w:rPr>
        <w:t>travel is also</w:t>
      </w:r>
      <w:r w:rsidRPr="004C348E">
        <w:rPr>
          <w:lang w:val="en-US"/>
        </w:rPr>
        <w:t xml:space="preserve"> exempt</w:t>
      </w:r>
      <w:r>
        <w:rPr>
          <w:lang w:val="en-US"/>
        </w:rPr>
        <w:t xml:space="preserve"> from</w:t>
      </w:r>
      <w:r w:rsidRPr="004C348E">
        <w:rPr>
          <w:lang w:val="en-US"/>
        </w:rPr>
        <w:t xml:space="preserve"> </w:t>
      </w:r>
      <w:r>
        <w:rPr>
          <w:lang w:val="en-US"/>
        </w:rPr>
        <w:t xml:space="preserve">FBT if the travel is </w:t>
      </w:r>
      <w:r w:rsidRPr="004C348E">
        <w:rPr>
          <w:lang w:val="en-US"/>
        </w:rPr>
        <w:t xml:space="preserve">a result of </w:t>
      </w:r>
      <w:r>
        <w:rPr>
          <w:lang w:val="en-US"/>
        </w:rPr>
        <w:t xml:space="preserve">the employee’s </w:t>
      </w:r>
      <w:r w:rsidRPr="004C348E">
        <w:rPr>
          <w:lang w:val="en-US"/>
        </w:rPr>
        <w:t>sickness or injury</w:t>
      </w:r>
      <w:r>
        <w:rPr>
          <w:lang w:val="en-US"/>
        </w:rPr>
        <w:t xml:space="preserve"> and the journey is</w:t>
      </w:r>
      <w:r w:rsidRPr="004C348E">
        <w:rPr>
          <w:lang w:val="en-US"/>
        </w:rPr>
        <w:t xml:space="preserve"> between </w:t>
      </w:r>
      <w:r>
        <w:rPr>
          <w:lang w:val="en-US"/>
        </w:rPr>
        <w:t>the employee’</w:t>
      </w:r>
      <w:r w:rsidRPr="004C348E">
        <w:rPr>
          <w:lang w:val="en-US"/>
        </w:rPr>
        <w:t>s work</w:t>
      </w:r>
      <w:r>
        <w:rPr>
          <w:lang w:val="en-US"/>
        </w:rPr>
        <w:t>place, residence and/or an</w:t>
      </w:r>
      <w:r w:rsidRPr="004C348E">
        <w:rPr>
          <w:lang w:val="en-US"/>
        </w:rPr>
        <w:t>other place</w:t>
      </w:r>
      <w:r>
        <w:rPr>
          <w:lang w:val="en-US"/>
        </w:rPr>
        <w:t xml:space="preserve"> appropriate because of the sickness or injury</w:t>
      </w:r>
      <w:r w:rsidRPr="004C348E">
        <w:rPr>
          <w:lang w:val="en-US"/>
        </w:rPr>
        <w:t>.</w:t>
      </w:r>
    </w:p>
    <w:p w14:paraId="7DE6DDCD" w14:textId="77777777" w:rsidR="00CD4740" w:rsidRPr="00D42D9F" w:rsidRDefault="00CD4740" w:rsidP="00CD4740">
      <w:pPr>
        <w:pStyle w:val="Heading1"/>
      </w:pPr>
      <w:r w:rsidRPr="00D42D9F">
        <w:lastRenderedPageBreak/>
        <w:t>Tax treatment of long-term construction contracts</w:t>
      </w:r>
    </w:p>
    <w:p w14:paraId="1CD7FF21" w14:textId="77777777" w:rsidR="00CD4740" w:rsidRDefault="00CD4740" w:rsidP="00CD4740">
      <w:pPr>
        <w:pStyle w:val="Fullout"/>
      </w:pPr>
      <w:r>
        <w:t xml:space="preserve">In new </w:t>
      </w:r>
      <w:r w:rsidRPr="007913DB">
        <w:t>Draft Taxation Ruling TR 2017/D8</w:t>
      </w:r>
      <w:r>
        <w:t>, the ATO</w:t>
      </w:r>
      <w:r w:rsidRPr="007913DB">
        <w:t xml:space="preserve"> explains the methods that taxpayers c</w:t>
      </w:r>
      <w:r>
        <w:t>an use to return income derived</w:t>
      </w:r>
      <w:r w:rsidRPr="007913DB">
        <w:t xml:space="preserve"> </w:t>
      </w:r>
      <w:r>
        <w:t>and recognise expenses incurred</w:t>
      </w:r>
      <w:r w:rsidRPr="007913DB">
        <w:t xml:space="preserve"> in long-term construction projects</w:t>
      </w:r>
      <w:r>
        <w:t xml:space="preserve">. A construction project is considered long-term if it </w:t>
      </w:r>
      <w:r w:rsidRPr="007913DB">
        <w:t>straddle</w:t>
      </w:r>
      <w:r>
        <w:t>s two or more income years</w:t>
      </w:r>
      <w:r w:rsidRPr="007913DB">
        <w:t>.</w:t>
      </w:r>
    </w:p>
    <w:p w14:paraId="25635FFE" w14:textId="77777777" w:rsidR="00CD4740" w:rsidRDefault="00CD4740" w:rsidP="00CD4740">
      <w:pPr>
        <w:pStyle w:val="Fullout"/>
      </w:pPr>
      <w:r>
        <w:t>Two methods of accounting are available: the basic approach (essentially the accruals method) and the estimated profits approach.</w:t>
      </w:r>
    </w:p>
    <w:p w14:paraId="7066664B" w14:textId="77777777" w:rsidR="00CD4740" w:rsidRDefault="00CD4740" w:rsidP="00CD4740">
      <w:pPr>
        <w:pStyle w:val="Fullout"/>
      </w:pPr>
      <w:r w:rsidRPr="002966CC">
        <w:t xml:space="preserve">Once a particular method is chosen, the ATO expects the taxpayer to apply it consistently for the </w:t>
      </w:r>
      <w:r>
        <w:t xml:space="preserve">entire </w:t>
      </w:r>
      <w:r w:rsidRPr="002966CC">
        <w:t>contract. The same method should also be applied t</w:t>
      </w:r>
      <w:r>
        <w:t>o all of the taxpayer’s similar contracts.</w:t>
      </w:r>
    </w:p>
    <w:p w14:paraId="236F2EFA" w14:textId="77777777" w:rsidR="00CD4740" w:rsidRDefault="00CD4740" w:rsidP="00CD4740">
      <w:pPr>
        <w:pStyle w:val="Fullout"/>
      </w:pPr>
      <w:r>
        <w:t>The draft ruling also deals with several accounting methods that the ATO does not consider acceptable for long-term construction contracts, including</w:t>
      </w:r>
      <w:r w:rsidRPr="002966CC">
        <w:t xml:space="preserve"> </w:t>
      </w:r>
      <w:r>
        <w:t xml:space="preserve">the </w:t>
      </w:r>
      <w:r w:rsidRPr="002966CC">
        <w:t>completed contracts</w:t>
      </w:r>
      <w:r>
        <w:t xml:space="preserve"> method (bringing</w:t>
      </w:r>
      <w:r w:rsidRPr="002966CC">
        <w:t xml:space="preserve"> profits and losses to account </w:t>
      </w:r>
      <w:r>
        <w:t xml:space="preserve">when the </w:t>
      </w:r>
      <w:r w:rsidRPr="002966CC">
        <w:t>contract</w:t>
      </w:r>
      <w:r>
        <w:t xml:space="preserve"> is completed).</w:t>
      </w:r>
    </w:p>
    <w:p w14:paraId="7B69FDAA" w14:textId="77777777" w:rsidR="00CD4740" w:rsidRPr="00D42D9F" w:rsidRDefault="00CD4740" w:rsidP="00CD4740">
      <w:pPr>
        <w:pStyle w:val="Heading1"/>
      </w:pPr>
      <w:r w:rsidRPr="00D42D9F">
        <w:t>Foreign equity distributions to corporate entities</w:t>
      </w:r>
    </w:p>
    <w:p w14:paraId="2C356296" w14:textId="77777777" w:rsidR="00CD4740" w:rsidRDefault="00CD4740" w:rsidP="00CD4740">
      <w:pPr>
        <w:pStyle w:val="Fullout"/>
      </w:pPr>
      <w:r>
        <w:t>Two</w:t>
      </w:r>
      <w:r w:rsidRPr="002966CC">
        <w:t xml:space="preserve"> </w:t>
      </w:r>
      <w:r>
        <w:t xml:space="preserve">recent </w:t>
      </w:r>
      <w:r w:rsidRPr="002966CC">
        <w:t xml:space="preserve">taxation determinations </w:t>
      </w:r>
      <w:r>
        <w:t xml:space="preserve">from the ATO deal with how </w:t>
      </w:r>
      <w:r w:rsidRPr="002966CC">
        <w:t xml:space="preserve">the foreign equity distribution rules in </w:t>
      </w:r>
      <w:r>
        <w:t xml:space="preserve">the </w:t>
      </w:r>
      <w:r w:rsidRPr="00C87D32">
        <w:rPr>
          <w:i/>
        </w:rPr>
        <w:t>Income Tax Assessment Act 1997</w:t>
      </w:r>
      <w:r>
        <w:t xml:space="preserve"> apply where the distribution </w:t>
      </w:r>
      <w:r w:rsidRPr="002966CC">
        <w:t>recipient is a corporate partner in a partnership or a corporate beneficiary of a trust.</w:t>
      </w:r>
    </w:p>
    <w:p w14:paraId="1713E9D7" w14:textId="77777777" w:rsidR="00CD4740" w:rsidRDefault="00CD4740" w:rsidP="00CD4740">
      <w:pPr>
        <w:pStyle w:val="Fullout"/>
      </w:pPr>
      <w:r w:rsidRPr="002966CC">
        <w:t xml:space="preserve">Under </w:t>
      </w:r>
      <w:r>
        <w:t>the rules</w:t>
      </w:r>
      <w:r w:rsidRPr="002966CC">
        <w:t xml:space="preserve">, a foreign equity distribution is treated as </w:t>
      </w:r>
      <w:r>
        <w:t>non-assessable, non-exempt income</w:t>
      </w:r>
      <w:r w:rsidRPr="002966CC">
        <w:t xml:space="preserve"> if the recipient is an Australian corporate tax entity that holds a participation interest of at least 10% in the foreign company making the distribution.</w:t>
      </w:r>
    </w:p>
    <w:p w14:paraId="71FE8C4F" w14:textId="77777777" w:rsidR="00CD4740" w:rsidRPr="00477ABE" w:rsidRDefault="00CD4740" w:rsidP="00CD4740">
      <w:pPr>
        <w:pStyle w:val="Fullout"/>
      </w:pPr>
      <w:r w:rsidRPr="002966CC">
        <w:t>The ATO</w:t>
      </w:r>
      <w:r>
        <w:t>’s</w:t>
      </w:r>
      <w:r w:rsidRPr="002966CC">
        <w:t xml:space="preserve"> view is that a partnership or trust can hold a direct control interest in a foreign company for </w:t>
      </w:r>
      <w:r>
        <w:t xml:space="preserve">the </w:t>
      </w:r>
      <w:r w:rsidRPr="002966CC">
        <w:t>purposes</w:t>
      </w:r>
      <w:r>
        <w:t xml:space="preserve"> of the rules</w:t>
      </w:r>
      <w:r w:rsidRPr="002966CC">
        <w:t>, so that an Australian corporate tax entity can have an indirect participation interest in the foreign company via the partnership or trust</w:t>
      </w:r>
      <w:r>
        <w:t>.</w:t>
      </w:r>
    </w:p>
    <w:p w14:paraId="673FE562" w14:textId="6BA19CB2" w:rsidR="00DF0200" w:rsidRPr="00CD4740" w:rsidRDefault="00DF0200" w:rsidP="00CD4740"/>
    <w:sectPr w:rsidR="00DF0200" w:rsidRPr="00CD4740" w:rsidSect="00B66500">
      <w:footerReference w:type="default" r:id="rId7"/>
      <w:headerReference w:type="first" r:id="rId8"/>
      <w:footerReference w:type="first" r:id="rId9"/>
      <w:pgSz w:w="11906" w:h="16838" w:code="9"/>
      <w:pgMar w:top="851" w:right="851" w:bottom="851" w:left="851" w:header="567" w:footer="564" w:gutter="0"/>
      <w:cols w:num="2" w:space="454"/>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CFEC" w14:textId="77777777" w:rsidR="003453CC" w:rsidRDefault="003453CC">
      <w:r>
        <w:separator/>
      </w:r>
    </w:p>
  </w:endnote>
  <w:endnote w:type="continuationSeparator" w:id="0">
    <w:p w14:paraId="694BA081" w14:textId="77777777" w:rsidR="003453CC" w:rsidRDefault="0034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riol Regular">
    <w:charset w:val="00"/>
    <w:family w:val="auto"/>
    <w:pitch w:val="variable"/>
    <w:sig w:usb0="8000002F" w:usb1="4000004A"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A1D62" w14:textId="77777777" w:rsidR="004E0B20" w:rsidRDefault="008B6756" w:rsidP="0002708B">
    <w:pPr>
      <w:pStyle w:val="Footer"/>
      <w:pBdr>
        <w:top w:val="single" w:sz="4" w:space="3" w:color="auto"/>
        <w:left w:val="single" w:sz="4" w:space="3" w:color="auto"/>
        <w:bottom w:val="single" w:sz="4" w:space="3" w:color="auto"/>
        <w:right w:val="single" w:sz="4" w:space="3" w:color="auto"/>
      </w:pBdr>
      <w:tabs>
        <w:tab w:val="clear" w:pos="4320"/>
        <w:tab w:val="clear" w:pos="8640"/>
      </w:tabs>
      <w:spacing w:before="80" w:after="80"/>
      <w:ind w:left="62" w:right="61"/>
      <w:jc w:val="both"/>
      <w:rPr>
        <w:sz w:val="16"/>
        <w:szCs w:val="16"/>
      </w:rPr>
    </w:pPr>
    <w:r w:rsidRPr="0002708B">
      <w:rPr>
        <w:b/>
        <w:sz w:val="16"/>
        <w:szCs w:val="16"/>
      </w:rPr>
      <w:t>Important</w:t>
    </w:r>
    <w:r w:rsidRPr="00B52F5C">
      <w:rPr>
        <w:sz w:val="16"/>
        <w:szCs w:val="16"/>
      </w:rPr>
      <w:t xml:space="preserve">: </w:t>
    </w:r>
    <w:r>
      <w:rPr>
        <w:sz w:val="16"/>
        <w:szCs w:val="16"/>
      </w:rPr>
      <w:t>Clients should not act solely on the basis of the material contained in Client Alert. Items herein are general comments only and do not constitute or convey advice per se. Also changes in legislation may occur quickly. We therefore recommend that our formal advice be sought before acting in any of the areas. Client Alert is issued as a helpful guide to clients and for their private information. Therefore it should be regarded as confidential and not be made available to any person without our prior approval.</w:t>
    </w:r>
  </w:p>
  <w:p w14:paraId="59661C2E" w14:textId="77777777" w:rsidR="008B6756" w:rsidRPr="00B52F5C" w:rsidRDefault="008B6756" w:rsidP="00B66500">
    <w:pPr>
      <w:pStyle w:val="Footer"/>
      <w:rPr>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07612" w14:textId="77777777" w:rsidR="00EE760B" w:rsidRDefault="00EE760B" w:rsidP="009F0EA5">
    <w:pPr>
      <w:pStyle w:val="Footer"/>
      <w:spacing w:after="40"/>
      <w:jc w:val="right"/>
      <w:rPr>
        <w:b/>
        <w:sz w:val="24"/>
      </w:rPr>
    </w:pPr>
  </w:p>
  <w:p w14:paraId="7708193A" w14:textId="46DCA33E" w:rsidR="008B6756" w:rsidRPr="009F0EA5" w:rsidRDefault="0033732E" w:rsidP="009F0EA5">
    <w:pPr>
      <w:pStyle w:val="Footer"/>
      <w:spacing w:after="40"/>
      <w:jc w:val="right"/>
      <w:rPr>
        <w:b/>
        <w:sz w:val="24"/>
      </w:rPr>
    </w:pPr>
    <w:r>
      <w:rPr>
        <w:b/>
        <w:sz w:val="24"/>
      </w:rPr>
      <w:t>December</w:t>
    </w:r>
    <w:r w:rsidR="0042703E">
      <w:rPr>
        <w:b/>
        <w:sz w:val="24"/>
      </w:rPr>
      <w:t xml:space="preserve">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4CE8F" w14:textId="77777777" w:rsidR="003453CC" w:rsidRDefault="003453CC">
      <w:r>
        <w:separator/>
      </w:r>
    </w:p>
  </w:footnote>
  <w:footnote w:type="continuationSeparator" w:id="0">
    <w:p w14:paraId="4C9EA466" w14:textId="77777777" w:rsidR="003453CC" w:rsidRDefault="003453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3A62" w14:textId="77777777" w:rsidR="007A67C3" w:rsidRDefault="007A67C3" w:rsidP="007A67C3">
    <w:pPr>
      <w:pStyle w:val="Header"/>
    </w:pPr>
    <w:r>
      <w:rPr>
        <w:noProof/>
        <w:lang w:val="en-GB" w:eastAsia="en-GB"/>
      </w:rPr>
      <mc:AlternateContent>
        <mc:Choice Requires="wps">
          <w:drawing>
            <wp:anchor distT="0" distB="0" distL="114300" distR="114300" simplePos="0" relativeHeight="251660288" behindDoc="0" locked="0" layoutInCell="1" allowOverlap="1" wp14:anchorId="74C4FAE4" wp14:editId="43D9FDC8">
              <wp:simplePos x="0" y="0"/>
              <wp:positionH relativeFrom="column">
                <wp:posOffset>4425950</wp:posOffset>
              </wp:positionH>
              <wp:positionV relativeFrom="paragraph">
                <wp:posOffset>182245</wp:posOffset>
              </wp:positionV>
              <wp:extent cx="2171700" cy="800100"/>
              <wp:effectExtent l="0" t="0" r="0" b="0"/>
              <wp:wrapThrough wrapText="bothSides">
                <wp:wrapPolygon edited="0">
                  <wp:start x="253" y="686"/>
                  <wp:lineTo x="253" y="19886"/>
                  <wp:lineTo x="20968" y="19886"/>
                  <wp:lineTo x="20968" y="686"/>
                  <wp:lineTo x="253" y="686"/>
                </wp:wrapPolygon>
              </wp:wrapThrough>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C89FF" w14:textId="77777777" w:rsidR="007A67C3" w:rsidRPr="00CE188E" w:rsidRDefault="007A67C3" w:rsidP="007A67C3">
                          <w:pPr>
                            <w:rPr>
                              <w:rFonts w:ascii="Bariol Regular" w:hAnsi="Bariol Regular"/>
                              <w:color w:val="464749"/>
                              <w:sz w:val="62"/>
                              <w:szCs w:val="62"/>
                            </w:rPr>
                          </w:pPr>
                          <w:r w:rsidRPr="00CE188E">
                            <w:rPr>
                              <w:rFonts w:ascii="Bariol Regular" w:hAnsi="Bariol Regular"/>
                              <w:color w:val="464749"/>
                              <w:sz w:val="62"/>
                              <w:szCs w:val="62"/>
                            </w:rPr>
                            <w:t>client alert</w:t>
                          </w:r>
                        </w:p>
                        <w:p w14:paraId="5616C238" w14:textId="77777777" w:rsidR="007A67C3" w:rsidRPr="00CE188E" w:rsidRDefault="007A67C3" w:rsidP="007A67C3">
                          <w:pPr>
                            <w:rPr>
                              <w:rFonts w:ascii="Bariol Regular" w:hAnsi="Bariol Regular"/>
                              <w:color w:val="464749"/>
                              <w:sz w:val="28"/>
                              <w:szCs w:val="32"/>
                            </w:rPr>
                          </w:pPr>
                          <w:r w:rsidRPr="00CE188E">
                            <w:rPr>
                              <w:rFonts w:ascii="Bariol Regular" w:hAnsi="Bariol Regular"/>
                              <w:color w:val="464749"/>
                              <w:sz w:val="28"/>
                              <w:szCs w:val="32"/>
                            </w:rPr>
                            <w:t>tax news | views | clues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4FAE4" id="_x0000_t202" coordsize="21600,21600" o:spt="202" path="m0,0l0,21600,21600,21600,21600,0xe">
              <v:stroke joinstyle="miter"/>
              <v:path gradientshapeok="t" o:connecttype="rect"/>
            </v:shapetype>
            <v:shape id="Text Box 3" o:spid="_x0000_s1026" type="#_x0000_t202" style="position:absolute;margin-left:348.5pt;margin-top:14.35pt;width:17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" filled="f" stroked="f">
              <v:textbox inset=",7.2pt,,7.2pt">
                <w:txbxContent>
                  <w:p w14:paraId="220C89FF" w14:textId="77777777" w:rsidR="007A67C3" w:rsidRPr="00CE188E" w:rsidRDefault="007A67C3" w:rsidP="007A67C3">
                    <w:pPr>
                      <w:rPr>
                        <w:rFonts w:ascii="Bariol Regular" w:hAnsi="Bariol Regular"/>
                        <w:color w:val="464749"/>
                        <w:sz w:val="62"/>
                        <w:szCs w:val="62"/>
                      </w:rPr>
                    </w:pPr>
                    <w:r w:rsidRPr="00CE188E">
                      <w:rPr>
                        <w:rFonts w:ascii="Bariol Regular" w:hAnsi="Bariol Regular"/>
                        <w:color w:val="464749"/>
                        <w:sz w:val="62"/>
                        <w:szCs w:val="62"/>
                      </w:rPr>
                      <w:t>client alert</w:t>
                    </w:r>
                  </w:p>
                  <w:p w14:paraId="5616C238" w14:textId="77777777" w:rsidR="007A67C3" w:rsidRPr="00CE188E" w:rsidRDefault="007A67C3" w:rsidP="007A67C3">
                    <w:pPr>
                      <w:rPr>
                        <w:rFonts w:ascii="Bariol Regular" w:hAnsi="Bariol Regular"/>
                        <w:color w:val="464749"/>
                        <w:sz w:val="28"/>
                        <w:szCs w:val="32"/>
                      </w:rPr>
                    </w:pPr>
                    <w:r w:rsidRPr="00CE188E">
                      <w:rPr>
                        <w:rFonts w:ascii="Bariol Regular" w:hAnsi="Bariol Regular"/>
                        <w:color w:val="464749"/>
                        <w:sz w:val="28"/>
                        <w:szCs w:val="32"/>
                      </w:rPr>
                      <w:t>tax news | views | clues</w:t>
                    </w:r>
                  </w:p>
                </w:txbxContent>
              </v:textbox>
              <w10:wrap type="through"/>
            </v:shape>
          </w:pict>
        </mc:Fallback>
      </mc:AlternateContent>
    </w:r>
    <w:r>
      <w:rPr>
        <w:rFonts w:ascii="Arial Black" w:hAnsi="Arial Black"/>
        <w:noProof/>
        <w:sz w:val="72"/>
        <w:lang w:val="en-GB" w:eastAsia="en-GB"/>
      </w:rPr>
      <w:drawing>
        <wp:anchor distT="0" distB="0" distL="114300" distR="114300" simplePos="0" relativeHeight="251659264" behindDoc="0" locked="0" layoutInCell="1" allowOverlap="1" wp14:anchorId="1CE9AC5D" wp14:editId="4B8622EF">
          <wp:simplePos x="0" y="0"/>
          <wp:positionH relativeFrom="column">
            <wp:posOffset>82550</wp:posOffset>
          </wp:positionH>
          <wp:positionV relativeFrom="paragraph">
            <wp:posOffset>155575</wp:posOffset>
          </wp:positionV>
          <wp:extent cx="3086100" cy="826770"/>
          <wp:effectExtent l="0" t="0" r="12700" b="0"/>
          <wp:wrapNone/>
          <wp:docPr id="8" name="Picture 8" descr="Macintosh HD:Users:Jaime:Dropbox (Di):Dropbox:Company:Enspira:• Enspira_Brand:Logos:PNG:Primary Logos:Enspira_Logo_Horiz_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Jaime:Dropbox (Di):Dropbox:Company:Enspira:• Enspira_Brand:Logos:PNG:Primary Logos:Enspira_Logo_Horiz_Strap.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08610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noProof/>
        <w:sz w:val="72"/>
        <w:lang w:val="en-GB" w:eastAsia="en-GB"/>
      </w:rPr>
      <w:drawing>
        <wp:inline distT="0" distB="0" distL="0" distR="0" wp14:anchorId="73F6F8AC" wp14:editId="64AED41F">
          <wp:extent cx="6462395" cy="1199515"/>
          <wp:effectExtent l="0" t="0" r="0" b="0"/>
          <wp:docPr id="9" name="Picture 9" descr="Macintosh HD:Users:Jaime:Dropbox (Di):Dropbox:Company:Enspira:Images:ImagesFromDesigner:ThinkstockPhotos-512044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aime:Dropbox (Di):Dropbox:Company:Enspira:Images:ImagesFromDesigner:ThinkstockPhotos-512044516.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6462395" cy="1199515"/>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F779A2A" w14:textId="77777777" w:rsidR="007A67C3" w:rsidRPr="00BB3657" w:rsidRDefault="007A67C3" w:rsidP="007A67C3">
    <w:pPr>
      <w:pStyle w:val="Header"/>
    </w:pPr>
  </w:p>
  <w:p w14:paraId="2A6231EC" w14:textId="77777777" w:rsidR="008B6756" w:rsidRDefault="008B6756" w:rsidP="007A67C3">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438E"/>
    <w:multiLevelType w:val="singleLevel"/>
    <w:tmpl w:val="A8181630"/>
    <w:lvl w:ilvl="0">
      <w:start w:val="1"/>
      <w:numFmt w:val="bullet"/>
      <w:lvlText w:val="·"/>
      <w:lvlJc w:val="left"/>
      <w:pPr>
        <w:tabs>
          <w:tab w:val="num" w:pos="360"/>
        </w:tabs>
        <w:ind w:left="360" w:hanging="360"/>
      </w:pPr>
      <w:rPr>
        <w:rFonts w:ascii="Times" w:hAnsi="Times" w:cs="Times New Roman" w:hint="default"/>
        <w:position w:val="-16"/>
        <w:sz w:val="72"/>
      </w:rPr>
    </w:lvl>
  </w:abstractNum>
  <w:abstractNum w:abstractNumId="1">
    <w:nsid w:val="06521A8A"/>
    <w:multiLevelType w:val="hybridMultilevel"/>
    <w:tmpl w:val="6F383BCA"/>
    <w:lvl w:ilvl="0" w:tplc="380C9FBE">
      <w:start w:val="1"/>
      <w:numFmt w:val="bullet"/>
      <w:lvlText w:val="•"/>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07F1834"/>
    <w:multiLevelType w:val="hybridMultilevel"/>
    <w:tmpl w:val="44C0F8BC"/>
    <w:lvl w:ilvl="0" w:tplc="89D0569C">
      <w:start w:val="1"/>
      <w:numFmt w:val="bullet"/>
      <w:lvlText w:val="·"/>
      <w:lvlJc w:val="left"/>
      <w:pPr>
        <w:tabs>
          <w:tab w:val="num" w:pos="360"/>
        </w:tabs>
        <w:ind w:left="360" w:hanging="360"/>
      </w:pPr>
      <w:rPr>
        <w:rFonts w:ascii="Arial" w:hAnsi="Arial" w:cs="Times New Roman" w:hint="default"/>
        <w:b w:val="0"/>
        <w:i w:val="0"/>
        <w:caps w:val="0"/>
        <w:strike w:val="0"/>
        <w:dstrike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45062A6"/>
    <w:multiLevelType w:val="singleLevel"/>
    <w:tmpl w:val="C5943240"/>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
    <w:nsid w:val="1A1E2F28"/>
    <w:multiLevelType w:val="hybridMultilevel"/>
    <w:tmpl w:val="6A024008"/>
    <w:lvl w:ilvl="0" w:tplc="1564F3CC">
      <w:start w:val="1"/>
      <w:numFmt w:val="bullet"/>
      <w:pStyle w:val="ListBullet1"/>
      <w:lvlText w:val="•"/>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0"/>
        <w:szCs w:val="20"/>
        <w:u w:val="none"/>
        <w:vertAlign w:val="base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0E530F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7276139"/>
    <w:multiLevelType w:val="multilevel"/>
    <w:tmpl w:val="D37A8332"/>
    <w:lvl w:ilvl="0">
      <w:start w:val="1"/>
      <w:numFmt w:val="bullet"/>
      <w:lvlText w:val="•"/>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4"/>
        <w:szCs w:val="24"/>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C121B40"/>
    <w:multiLevelType w:val="multilevel"/>
    <w:tmpl w:val="93CEF010"/>
    <w:lvl w:ilvl="0">
      <w:start w:val="1"/>
      <w:numFmt w:val="bullet"/>
      <w:lvlText w:val="•"/>
      <w:lvlJc w:val="left"/>
      <w:pPr>
        <w:tabs>
          <w:tab w:val="num" w:pos="360"/>
        </w:tabs>
        <w:ind w:left="360" w:hanging="360"/>
      </w:pPr>
      <w:rPr>
        <w:rFonts w:ascii="Arial" w:hAnsi="Arial" w:hint="default"/>
        <w:b w:val="0"/>
        <w:i w:val="0"/>
        <w:caps w:val="0"/>
        <w:strike w:val="0"/>
        <w:dstrike w:val="0"/>
        <w:vanish w:val="0"/>
        <w:color w:val="auto"/>
        <w:spacing w:val="0"/>
        <w:w w:val="100"/>
        <w:kern w:val="0"/>
        <w:position w:val="0"/>
        <w:sz w:val="20"/>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1E174BB"/>
    <w:multiLevelType w:val="hybridMultilevel"/>
    <w:tmpl w:val="136210FC"/>
    <w:lvl w:ilvl="0" w:tplc="06A2DFD6">
      <w:start w:val="1"/>
      <w:numFmt w:val="bullet"/>
      <w:pStyle w:val="Listrule"/>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3D7D45"/>
    <w:multiLevelType w:val="multilevel"/>
    <w:tmpl w:val="4FFE3CCC"/>
    <w:lvl w:ilvl="0">
      <w:start w:val="1"/>
      <w:numFmt w:val="bullet"/>
      <w:lvlText w:val="·"/>
      <w:lvlJc w:val="left"/>
      <w:pPr>
        <w:tabs>
          <w:tab w:val="num" w:pos="360"/>
        </w:tabs>
        <w:ind w:left="360" w:hanging="360"/>
      </w:pPr>
      <w:rPr>
        <w:rFonts w:ascii="Arial" w:hAnsi="Arial" w:cs="Times New Roman" w:hint="default"/>
        <w:b w:val="0"/>
        <w:i w:val="0"/>
        <w:caps w:val="0"/>
        <w:strike w:val="0"/>
        <w:dstrike w:val="0"/>
        <w:vanish w:val="0"/>
        <w:color w:val="auto"/>
        <w:spacing w:val="0"/>
        <w:w w:val="100"/>
        <w:kern w:val="0"/>
        <w:position w:val="0"/>
        <w:sz w:val="20"/>
        <w:szCs w:val="20"/>
        <w:u w:val="none"/>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9"/>
  </w:num>
  <w:num w:numId="6">
    <w:abstractNumId w:val="1"/>
  </w:num>
  <w:num w:numId="7">
    <w:abstractNumId w:val="7"/>
  </w:num>
  <w:num w:numId="8">
    <w:abstractNumId w:val="4"/>
  </w:num>
  <w:num w:numId="9">
    <w:abstractNumId w:val="5"/>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4DB"/>
    <w:rsid w:val="0002708B"/>
    <w:rsid w:val="00046108"/>
    <w:rsid w:val="0006476C"/>
    <w:rsid w:val="000A377A"/>
    <w:rsid w:val="000E0C38"/>
    <w:rsid w:val="00110A12"/>
    <w:rsid w:val="001A2CDD"/>
    <w:rsid w:val="001A7486"/>
    <w:rsid w:val="001D5F3F"/>
    <w:rsid w:val="00240BA2"/>
    <w:rsid w:val="00250DA2"/>
    <w:rsid w:val="00280A88"/>
    <w:rsid w:val="002A2D9E"/>
    <w:rsid w:val="002E145F"/>
    <w:rsid w:val="0033732E"/>
    <w:rsid w:val="00337EC7"/>
    <w:rsid w:val="003449C5"/>
    <w:rsid w:val="0034529B"/>
    <w:rsid w:val="003453CC"/>
    <w:rsid w:val="00372D0B"/>
    <w:rsid w:val="003853C2"/>
    <w:rsid w:val="003E59B9"/>
    <w:rsid w:val="00400703"/>
    <w:rsid w:val="00414D47"/>
    <w:rsid w:val="0042703E"/>
    <w:rsid w:val="00435D88"/>
    <w:rsid w:val="00450616"/>
    <w:rsid w:val="00462888"/>
    <w:rsid w:val="00481569"/>
    <w:rsid w:val="004D032E"/>
    <w:rsid w:val="004E0B20"/>
    <w:rsid w:val="00526AC6"/>
    <w:rsid w:val="00553D16"/>
    <w:rsid w:val="00590482"/>
    <w:rsid w:val="005A3693"/>
    <w:rsid w:val="005B03C6"/>
    <w:rsid w:val="005F3D43"/>
    <w:rsid w:val="0064194F"/>
    <w:rsid w:val="0066503D"/>
    <w:rsid w:val="006671D6"/>
    <w:rsid w:val="006A6774"/>
    <w:rsid w:val="006B4ECD"/>
    <w:rsid w:val="006F2967"/>
    <w:rsid w:val="00701701"/>
    <w:rsid w:val="0071393C"/>
    <w:rsid w:val="00734467"/>
    <w:rsid w:val="007724AF"/>
    <w:rsid w:val="00781F3A"/>
    <w:rsid w:val="007915A4"/>
    <w:rsid w:val="007A67C3"/>
    <w:rsid w:val="00831F98"/>
    <w:rsid w:val="00853DDF"/>
    <w:rsid w:val="00864C5A"/>
    <w:rsid w:val="00885160"/>
    <w:rsid w:val="008B6756"/>
    <w:rsid w:val="008C0700"/>
    <w:rsid w:val="00932F86"/>
    <w:rsid w:val="00964A95"/>
    <w:rsid w:val="0097114B"/>
    <w:rsid w:val="00982124"/>
    <w:rsid w:val="00990832"/>
    <w:rsid w:val="009B09C7"/>
    <w:rsid w:val="009E1E73"/>
    <w:rsid w:val="009F0EA5"/>
    <w:rsid w:val="00A00A75"/>
    <w:rsid w:val="00A03857"/>
    <w:rsid w:val="00A4298B"/>
    <w:rsid w:val="00A5102C"/>
    <w:rsid w:val="00A92BF0"/>
    <w:rsid w:val="00AA54DB"/>
    <w:rsid w:val="00B018FC"/>
    <w:rsid w:val="00B10E6A"/>
    <w:rsid w:val="00B20E6C"/>
    <w:rsid w:val="00B52F5C"/>
    <w:rsid w:val="00B66500"/>
    <w:rsid w:val="00B7107A"/>
    <w:rsid w:val="00B8656A"/>
    <w:rsid w:val="00BD3FF4"/>
    <w:rsid w:val="00BD51C0"/>
    <w:rsid w:val="00BF16D4"/>
    <w:rsid w:val="00C53F5F"/>
    <w:rsid w:val="00C65600"/>
    <w:rsid w:val="00C961CC"/>
    <w:rsid w:val="00CD1350"/>
    <w:rsid w:val="00CD4203"/>
    <w:rsid w:val="00CD4740"/>
    <w:rsid w:val="00CE3D31"/>
    <w:rsid w:val="00D054B8"/>
    <w:rsid w:val="00D673A9"/>
    <w:rsid w:val="00D734C0"/>
    <w:rsid w:val="00DC6D62"/>
    <w:rsid w:val="00DF0200"/>
    <w:rsid w:val="00E0483B"/>
    <w:rsid w:val="00E07A1C"/>
    <w:rsid w:val="00E61E9E"/>
    <w:rsid w:val="00E63BA9"/>
    <w:rsid w:val="00EA2C3B"/>
    <w:rsid w:val="00EC5C40"/>
    <w:rsid w:val="00EE760B"/>
    <w:rsid w:val="00F3380F"/>
    <w:rsid w:val="00F42C75"/>
    <w:rsid w:val="00F64B44"/>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A477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032E"/>
    <w:rPr>
      <w:rFonts w:ascii="Arial" w:hAnsi="Arial"/>
      <w:lang w:eastAsia="en-US"/>
    </w:rPr>
  </w:style>
  <w:style w:type="paragraph" w:styleId="Heading1">
    <w:name w:val="heading 1"/>
    <w:basedOn w:val="Normal"/>
    <w:next w:val="Normal"/>
    <w:qFormat/>
    <w:rsid w:val="006671D6"/>
    <w:pPr>
      <w:keepNext/>
      <w:pBdr>
        <w:top w:val="single" w:sz="4" w:space="8" w:color="auto"/>
      </w:pBdr>
      <w:spacing w:before="160" w:after="120" w:line="320" w:lineRule="exact"/>
      <w:outlineLvl w:val="0"/>
    </w:pPr>
    <w:rPr>
      <w:b/>
      <w:sz w:val="28"/>
    </w:rPr>
  </w:style>
  <w:style w:type="paragraph" w:styleId="Heading2">
    <w:name w:val="heading 2"/>
    <w:basedOn w:val="Normal"/>
    <w:next w:val="Normal"/>
    <w:qFormat/>
    <w:rsid w:val="00337EC7"/>
    <w:pPr>
      <w:keepNext/>
      <w:spacing w:before="40" w:after="120" w:line="250" w:lineRule="exact"/>
      <w:outlineLvl w:val="1"/>
    </w:pPr>
    <w:rPr>
      <w:rFonts w:ascii="Arial Black" w:hAnsi="Arial Black"/>
      <w:sz w:val="22"/>
    </w:rPr>
  </w:style>
  <w:style w:type="paragraph" w:styleId="Heading3">
    <w:name w:val="heading 3"/>
    <w:basedOn w:val="Normal"/>
    <w:next w:val="Normal"/>
    <w:qFormat/>
    <w:rsid w:val="00337EC7"/>
    <w:pPr>
      <w:keepNext/>
      <w:spacing w:before="40" w:after="120" w:line="250" w:lineRule="exact"/>
      <w:outlineLvl w:val="2"/>
    </w:pPr>
    <w:rPr>
      <w:b/>
      <w:i/>
    </w:rPr>
  </w:style>
  <w:style w:type="paragraph" w:styleId="Heading4">
    <w:name w:val="heading 4"/>
    <w:basedOn w:val="Normal"/>
    <w:next w:val="Normal"/>
    <w:qFormat/>
    <w:rsid w:val="006B4ECD"/>
    <w:pPr>
      <w:keepNext/>
      <w:spacing w:after="120" w:line="240" w:lineRule="exac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0A12"/>
    <w:pPr>
      <w:tabs>
        <w:tab w:val="center" w:pos="4153"/>
        <w:tab w:val="right" w:pos="8306"/>
      </w:tabs>
    </w:pPr>
  </w:style>
  <w:style w:type="paragraph" w:styleId="Footer">
    <w:name w:val="footer"/>
    <w:basedOn w:val="Normal"/>
    <w:rsid w:val="00853DDF"/>
    <w:pPr>
      <w:tabs>
        <w:tab w:val="center" w:pos="4320"/>
        <w:tab w:val="right" w:pos="8640"/>
      </w:tabs>
    </w:pPr>
  </w:style>
  <w:style w:type="paragraph" w:customStyle="1" w:styleId="ListBullet1">
    <w:name w:val="List Bullet1"/>
    <w:basedOn w:val="Normal"/>
    <w:rsid w:val="00964A95"/>
    <w:pPr>
      <w:numPr>
        <w:numId w:val="8"/>
      </w:numPr>
      <w:spacing w:after="100" w:line="230" w:lineRule="exact"/>
    </w:pPr>
  </w:style>
  <w:style w:type="paragraph" w:customStyle="1" w:styleId="Fullout">
    <w:name w:val="Fullout"/>
    <w:basedOn w:val="Normal"/>
    <w:link w:val="FulloutChar"/>
    <w:rsid w:val="00590482"/>
    <w:pPr>
      <w:spacing w:after="140" w:line="250" w:lineRule="exact"/>
    </w:pPr>
  </w:style>
  <w:style w:type="paragraph" w:customStyle="1" w:styleId="TipBox">
    <w:name w:val="Tip Box"/>
    <w:basedOn w:val="Normal"/>
    <w:rsid w:val="00590482"/>
    <w:pPr>
      <w:pBdr>
        <w:top w:val="single" w:sz="4" w:space="3" w:color="auto"/>
        <w:left w:val="single" w:sz="4" w:space="3" w:color="auto"/>
        <w:bottom w:val="single" w:sz="4" w:space="3" w:color="auto"/>
        <w:right w:val="single" w:sz="4" w:space="3" w:color="auto"/>
      </w:pBdr>
      <w:spacing w:after="140" w:line="250" w:lineRule="exact"/>
    </w:pPr>
  </w:style>
  <w:style w:type="character" w:customStyle="1" w:styleId="TIPCAPS">
    <w:name w:val="TIP CAPS"/>
    <w:basedOn w:val="DefaultParagraphFont"/>
    <w:rsid w:val="009B09C7"/>
    <w:rPr>
      <w:rFonts w:ascii="Arial" w:hAnsi="Arial"/>
      <w:b/>
      <w:caps/>
      <w:sz w:val="20"/>
    </w:rPr>
  </w:style>
  <w:style w:type="paragraph" w:customStyle="1" w:styleId="Listrule">
    <w:name w:val="List rule"/>
    <w:basedOn w:val="ListBullet1"/>
    <w:rsid w:val="009B09C7"/>
    <w:pPr>
      <w:numPr>
        <w:numId w:val="3"/>
      </w:numPr>
      <w:ind w:left="714" w:hanging="357"/>
    </w:pPr>
  </w:style>
  <w:style w:type="character" w:customStyle="1" w:styleId="FulloutChar">
    <w:name w:val="Fullout Char"/>
    <w:basedOn w:val="DefaultParagraphFont"/>
    <w:link w:val="Fullout"/>
    <w:rsid w:val="00590482"/>
    <w:rPr>
      <w:rFonts w:ascii="Arial" w:hAnsi="Arial"/>
      <w:lang w:eastAsia="en-US"/>
    </w:rPr>
  </w:style>
  <w:style w:type="paragraph" w:styleId="BalloonText">
    <w:name w:val="Balloon Text"/>
    <w:basedOn w:val="Normal"/>
    <w:link w:val="BalloonTextChar"/>
    <w:rsid w:val="004E0B20"/>
    <w:rPr>
      <w:rFonts w:ascii="Tahoma" w:hAnsi="Tahoma" w:cs="Tahoma"/>
      <w:sz w:val="16"/>
      <w:szCs w:val="16"/>
    </w:rPr>
  </w:style>
  <w:style w:type="character" w:customStyle="1" w:styleId="BalloonTextChar">
    <w:name w:val="Balloon Text Char"/>
    <w:basedOn w:val="DefaultParagraphFont"/>
    <w:link w:val="BalloonText"/>
    <w:rsid w:val="004E0B20"/>
    <w:rPr>
      <w:rFonts w:ascii="Tahoma" w:hAnsi="Tahoma" w:cs="Tahoma"/>
      <w:sz w:val="16"/>
      <w:szCs w:val="16"/>
      <w:lang w:eastAsia="en-US"/>
    </w:rPr>
  </w:style>
  <w:style w:type="character" w:styleId="CommentReference">
    <w:name w:val="annotation reference"/>
    <w:basedOn w:val="DefaultParagraphFont"/>
    <w:rsid w:val="004E0B20"/>
    <w:rPr>
      <w:sz w:val="16"/>
      <w:szCs w:val="16"/>
    </w:rPr>
  </w:style>
  <w:style w:type="paragraph" w:styleId="CommentText">
    <w:name w:val="annotation text"/>
    <w:basedOn w:val="Normal"/>
    <w:link w:val="CommentTextChar"/>
    <w:rsid w:val="004E0B20"/>
  </w:style>
  <w:style w:type="character" w:customStyle="1" w:styleId="CommentTextChar">
    <w:name w:val="Comment Text Char"/>
    <w:basedOn w:val="DefaultParagraphFont"/>
    <w:link w:val="CommentText"/>
    <w:rsid w:val="004E0B20"/>
    <w:rPr>
      <w:rFonts w:ascii="Arial" w:hAnsi="Arial"/>
      <w:lang w:eastAsia="en-US"/>
    </w:rPr>
  </w:style>
  <w:style w:type="paragraph" w:styleId="CommentSubject">
    <w:name w:val="annotation subject"/>
    <w:basedOn w:val="CommentText"/>
    <w:next w:val="CommentText"/>
    <w:link w:val="CommentSubjectChar"/>
    <w:rsid w:val="004E0B20"/>
    <w:rPr>
      <w:b/>
      <w:bCs/>
    </w:rPr>
  </w:style>
  <w:style w:type="character" w:customStyle="1" w:styleId="CommentSubjectChar">
    <w:name w:val="Comment Subject Char"/>
    <w:basedOn w:val="CommentTextChar"/>
    <w:link w:val="CommentSubject"/>
    <w:rsid w:val="004E0B20"/>
    <w:rPr>
      <w:rFonts w:ascii="Arial" w:hAnsi="Arial"/>
      <w:b/>
      <w:bCs/>
      <w:lang w:eastAsia="en-US"/>
    </w:rPr>
  </w:style>
  <w:style w:type="paragraph" w:styleId="Revision">
    <w:name w:val="Revision"/>
    <w:hidden/>
    <w:uiPriority w:val="99"/>
    <w:semiHidden/>
    <w:rsid w:val="00B7107A"/>
    <w:rPr>
      <w:rFonts w:ascii="Arial" w:hAnsi="Arial"/>
      <w:lang w:eastAsia="en-US"/>
    </w:rPr>
  </w:style>
  <w:style w:type="character" w:styleId="Emphasis">
    <w:name w:val="Emphasis"/>
    <w:basedOn w:val="DefaultParagraphFont"/>
    <w:uiPriority w:val="20"/>
    <w:qFormat/>
    <w:rsid w:val="00864C5A"/>
    <w:rPr>
      <w:i/>
      <w:iCs/>
    </w:rPr>
  </w:style>
  <w:style w:type="paragraph" w:customStyle="1" w:styleId="ListBullet2">
    <w:name w:val="List Bullet2"/>
    <w:basedOn w:val="Normal"/>
    <w:rsid w:val="00C65600"/>
    <w:pPr>
      <w:tabs>
        <w:tab w:val="num" w:pos="360"/>
      </w:tabs>
      <w:spacing w:after="100" w:line="230" w:lineRule="exact"/>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lient%20Alert\XX16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G:\Templates\Client Alert\XX16CA.dot</Template>
  <TotalTime>47</TotalTime>
  <Pages>2</Pages>
  <Words>1110</Words>
  <Characters>6331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Client Alert</vt:lpstr>
    </vt:vector>
  </TitlesOfParts>
  <Company>Thomson Reuters</Company>
  <LinksUpToDate>false</LinksUpToDate>
  <CharactersWithSpaces>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Alert</dc:title>
  <dc:creator>Cassandra Ball</dc:creator>
  <cp:lastModifiedBy>Diana duPreez</cp:lastModifiedBy>
  <cp:revision>23</cp:revision>
  <cp:lastPrinted>2010-02-22T21:36:00Z</cp:lastPrinted>
  <dcterms:created xsi:type="dcterms:W3CDTF">2017-06-20T23:46:00Z</dcterms:created>
  <dcterms:modified xsi:type="dcterms:W3CDTF">2017-11-02T23:08:00Z</dcterms:modified>
</cp:coreProperties>
</file>