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5D3" w:rsidRDefault="009835D3" w:rsidP="009835D3">
      <w:pPr>
        <w:pStyle w:val="Heading1"/>
        <w:spacing w:before="0"/>
        <w:rPr>
          <w:rFonts w:eastAsia="Calibri"/>
        </w:rPr>
      </w:pPr>
      <w:r w:rsidRPr="009835D3">
        <w:rPr>
          <w:rFonts w:eastAsia="Calibri"/>
        </w:rPr>
        <w:t>Re-characterisation of income from trading businesses</w:t>
      </w:r>
    </w:p>
    <w:p w:rsidR="003F513C" w:rsidRDefault="009835D3" w:rsidP="009835D3">
      <w:pPr>
        <w:pStyle w:val="Fullout"/>
      </w:pPr>
      <w:r w:rsidRPr="009835D3">
        <w:t xml:space="preserve">The ATO has released Taxpayer Alert TA 2017/1 </w:t>
      </w:r>
      <w:r w:rsidR="004014E7">
        <w:t>to say</w:t>
      </w:r>
      <w:r w:rsidRPr="009835D3">
        <w:t xml:space="preserve"> it is reviewing arrangements that </w:t>
      </w:r>
      <w:r w:rsidR="004014E7">
        <w:t>try</w:t>
      </w:r>
      <w:r w:rsidR="004014E7" w:rsidRPr="009835D3">
        <w:t xml:space="preserve"> </w:t>
      </w:r>
      <w:r w:rsidRPr="009835D3">
        <w:t xml:space="preserve">to fragment integrated trading businesses to re-characterise trading income </w:t>
      </w:r>
      <w:r w:rsidR="004014E7">
        <w:t xml:space="preserve">as </w:t>
      </w:r>
      <w:r w:rsidRPr="009835D3">
        <w:t xml:space="preserve">more favourably taxed passive income. </w:t>
      </w:r>
      <w:r w:rsidR="004014E7">
        <w:t>The ATO is</w:t>
      </w:r>
      <w:r w:rsidR="004014E7" w:rsidRPr="009835D3">
        <w:t xml:space="preserve"> </w:t>
      </w:r>
      <w:r w:rsidRPr="009835D3">
        <w:t>concern</w:t>
      </w:r>
      <w:r w:rsidR="004014E7">
        <w:t>ed</w:t>
      </w:r>
      <w:r w:rsidRPr="009835D3">
        <w:t xml:space="preserve"> </w:t>
      </w:r>
      <w:r w:rsidR="004014E7">
        <w:t>with</w:t>
      </w:r>
      <w:r w:rsidRPr="009835D3">
        <w:t xml:space="preserve"> </w:t>
      </w:r>
      <w:r w:rsidR="004014E7">
        <w:t xml:space="preserve">cases where </w:t>
      </w:r>
      <w:r w:rsidRPr="009835D3">
        <w:t xml:space="preserve">a single business is divided in a contrived way into separate businesses. The </w:t>
      </w:r>
      <w:r w:rsidR="004014E7">
        <w:t xml:space="preserve">business </w:t>
      </w:r>
      <w:r w:rsidRPr="009835D3">
        <w:t xml:space="preserve">income expected to be subject to company tax is artificially diverted into a trust </w:t>
      </w:r>
      <w:r w:rsidR="004014E7">
        <w:t>and</w:t>
      </w:r>
      <w:r w:rsidRPr="009835D3">
        <w:t xml:space="preserve">, on distribution from the trust, that income is ultimately subject to no tax or </w:t>
      </w:r>
      <w:r w:rsidR="004014E7">
        <w:t xml:space="preserve">to </w:t>
      </w:r>
      <w:r w:rsidRPr="009835D3">
        <w:t>a lesser rate than the corporate rate of tax.</w:t>
      </w:r>
    </w:p>
    <w:p w:rsidR="009835D3" w:rsidRPr="009835D3" w:rsidRDefault="003F513C" w:rsidP="009835D3">
      <w:pPr>
        <w:pStyle w:val="Fullout"/>
        <w:rPr>
          <w:rFonts w:eastAsia="Calibri"/>
          <w:szCs w:val="22"/>
        </w:rPr>
      </w:pPr>
      <w:r w:rsidRPr="009835D3">
        <w:t xml:space="preserve">The </w:t>
      </w:r>
      <w:r>
        <w:t>ATO</w:t>
      </w:r>
      <w:r w:rsidRPr="009835D3">
        <w:t xml:space="preserve"> explains that “stapled structures” are one mechanism being used in these arrangements, but </w:t>
      </w:r>
      <w:r>
        <w:t>the</w:t>
      </w:r>
      <w:r w:rsidRPr="009835D3">
        <w:t xml:space="preserve"> </w:t>
      </w:r>
      <w:r>
        <w:t>review will</w:t>
      </w:r>
      <w:r w:rsidRPr="009835D3">
        <w:t xml:space="preserve"> not be limited to arrangements involving </w:t>
      </w:r>
      <w:r>
        <w:t>stapled</w:t>
      </w:r>
      <w:r w:rsidRPr="009835D3">
        <w:t xml:space="preserve"> structures.</w:t>
      </w:r>
    </w:p>
    <w:p w:rsidR="009835D3" w:rsidRPr="009835D3" w:rsidRDefault="009835D3" w:rsidP="009835D3">
      <w:pPr>
        <w:pStyle w:val="TipBox"/>
        <w:rPr>
          <w:rFonts w:eastAsia="Calibri"/>
          <w:szCs w:val="22"/>
        </w:rPr>
      </w:pPr>
      <w:r w:rsidRPr="009835D3">
        <w:rPr>
          <w:rStyle w:val="TIPCAPS"/>
        </w:rPr>
        <w:t>TIP:</w:t>
      </w:r>
      <w:r w:rsidRPr="009835D3">
        <w:t xml:space="preserve"> Taxpayer Alert 2014/1</w:t>
      </w:r>
      <w:r w:rsidR="003F513C">
        <w:t xml:space="preserve"> </w:t>
      </w:r>
      <w:r w:rsidRPr="009835D3">
        <w:t>deals with similar arrangements where trusts “mischaracterise” property development receipts as concessionally taxed capital gains</w:t>
      </w:r>
      <w:r w:rsidR="003F513C">
        <w:t xml:space="preserve"> to obtain a lower tax rate</w:t>
      </w:r>
      <w:r w:rsidRPr="009835D3">
        <w:t>.</w:t>
      </w:r>
    </w:p>
    <w:p w:rsidR="009835D3" w:rsidRDefault="008E5337" w:rsidP="009835D3">
      <w:pPr>
        <w:pStyle w:val="Heading1"/>
      </w:pPr>
      <w:r w:rsidRPr="009835D3">
        <w:t>ATO warning</w:t>
      </w:r>
      <w:r>
        <w:t>:</w:t>
      </w:r>
      <w:r w:rsidRPr="009835D3">
        <w:t xml:space="preserve"> </w:t>
      </w:r>
      <w:r>
        <w:t>research and development</w:t>
      </w:r>
      <w:r w:rsidR="009835D3" w:rsidRPr="009835D3">
        <w:t xml:space="preserve"> claims in building and construction industry</w:t>
      </w:r>
    </w:p>
    <w:p w:rsidR="009835D3" w:rsidRPr="009835D3" w:rsidRDefault="009835D3" w:rsidP="009835D3">
      <w:pPr>
        <w:pStyle w:val="Fullout"/>
        <w:rPr>
          <w:rFonts w:eastAsia="Calibri"/>
          <w:szCs w:val="22"/>
        </w:rPr>
      </w:pPr>
      <w:r w:rsidRPr="009835D3">
        <w:t xml:space="preserve">The ATO and the Department of Industry, Innovation and Science have released Taxpayer Alert TA 2017/2 and TA 2017/3 as a warning to </w:t>
      </w:r>
      <w:r w:rsidR="003F513C">
        <w:t>businesses that are</w:t>
      </w:r>
      <w:r w:rsidR="003F513C" w:rsidRPr="009835D3">
        <w:t xml:space="preserve"> </w:t>
      </w:r>
      <w:r w:rsidRPr="009835D3">
        <w:t xml:space="preserve">not being careful enough in their claims or seeking to deliberately exploit the </w:t>
      </w:r>
      <w:r w:rsidR="003F513C">
        <w:t>research and development (</w:t>
      </w:r>
      <w:r w:rsidRPr="009835D3">
        <w:t>R&amp;D</w:t>
      </w:r>
      <w:r w:rsidR="003F513C">
        <w:t>)</w:t>
      </w:r>
      <w:r w:rsidRPr="009835D3">
        <w:t xml:space="preserve"> Tax Incentive program.</w:t>
      </w:r>
      <w:r>
        <w:t xml:space="preserve"> </w:t>
      </w:r>
      <w:r w:rsidRPr="009835D3">
        <w:t xml:space="preserve">The </w:t>
      </w:r>
      <w:r w:rsidR="003F513C">
        <w:t>a</w:t>
      </w:r>
      <w:r w:rsidRPr="009835D3">
        <w:t>lerts relate to particular issues identified in the building and construction industry</w:t>
      </w:r>
      <w:r w:rsidR="003F513C">
        <w:t>,</w:t>
      </w:r>
      <w:r w:rsidRPr="009835D3">
        <w:t xml:space="preserve"> where specifically excluded expenditure is being claimed as R&amp;D expenses. The alerts provide clarification for a wide range of businesses who had been incorrectly claiming ordinary business activities against the R&amp;D tax incentive.</w:t>
      </w:r>
    </w:p>
    <w:p w:rsidR="009835D3" w:rsidRDefault="009835D3" w:rsidP="009835D3">
      <w:pPr>
        <w:pStyle w:val="Heading1"/>
      </w:pPr>
      <w:r w:rsidRPr="009835D3">
        <w:t>Intangible capital impro</w:t>
      </w:r>
      <w:r>
        <w:t>vements made to a pre-CGT asset</w:t>
      </w:r>
    </w:p>
    <w:p w:rsidR="00165439" w:rsidRDefault="009835D3" w:rsidP="009835D3">
      <w:pPr>
        <w:pStyle w:val="Fullout"/>
      </w:pPr>
      <w:r w:rsidRPr="009835D3">
        <w:t xml:space="preserve">The ATO has issued Taxation Determination </w:t>
      </w:r>
      <w:r w:rsidR="00165439" w:rsidRPr="009835D3">
        <w:t>TD</w:t>
      </w:r>
      <w:r w:rsidR="00165439">
        <w:t> </w:t>
      </w:r>
      <w:r w:rsidRPr="009835D3">
        <w:t xml:space="preserve">2017/1. It provides that for the purposes of the </w:t>
      </w:r>
      <w:r w:rsidR="00165439">
        <w:t>“</w:t>
      </w:r>
      <w:r w:rsidRPr="009835D3">
        <w:t>separate asset</w:t>
      </w:r>
      <w:r w:rsidR="00165439">
        <w:t>”</w:t>
      </w:r>
      <w:r w:rsidRPr="009835D3">
        <w:t xml:space="preserve"> rules in the </w:t>
      </w:r>
      <w:r w:rsidR="00165439">
        <w:rPr>
          <w:i/>
        </w:rPr>
        <w:t xml:space="preserve">Income Tax Assessment Act 1997 </w:t>
      </w:r>
      <w:r w:rsidR="00165439" w:rsidRPr="00165439">
        <w:t>(</w:t>
      </w:r>
      <w:r w:rsidRPr="009835D3">
        <w:t>ITAA 1997</w:t>
      </w:r>
      <w:r w:rsidR="00165439">
        <w:t>)</w:t>
      </w:r>
      <w:r w:rsidRPr="009835D3">
        <w:t xml:space="preserve">, </w:t>
      </w:r>
      <w:r w:rsidR="00165439">
        <w:t xml:space="preserve">some </w:t>
      </w:r>
      <w:r w:rsidRPr="009835D3">
        <w:t xml:space="preserve">intangible capital improvements can be </w:t>
      </w:r>
      <w:r w:rsidR="00165439">
        <w:t xml:space="preserve">considered </w:t>
      </w:r>
      <w:r w:rsidRPr="009835D3">
        <w:t xml:space="preserve">separate </w:t>
      </w:r>
      <w:r w:rsidR="0025291A">
        <w:t>capital gains tax (</w:t>
      </w:r>
      <w:r w:rsidRPr="009835D3">
        <w:t>CGT</w:t>
      </w:r>
      <w:r w:rsidR="0025291A">
        <w:t>)</w:t>
      </w:r>
      <w:r w:rsidRPr="009835D3">
        <w:t xml:space="preserve"> asset</w:t>
      </w:r>
      <w:r w:rsidR="00165439">
        <w:t>s</w:t>
      </w:r>
      <w:r w:rsidRPr="009835D3">
        <w:t xml:space="preserve"> from the pre-CGT asset to which the improvements are made</w:t>
      </w:r>
      <w:r w:rsidR="00165439">
        <w:t xml:space="preserve">, </w:t>
      </w:r>
      <w:r w:rsidRPr="009835D3">
        <w:t xml:space="preserve">if the improvement </w:t>
      </w:r>
      <w:r w:rsidR="00C76383">
        <w:br w:type="column"/>
      </w:r>
      <w:r w:rsidRPr="009835D3">
        <w:t xml:space="preserve">cost base is more than the improvement threshold for the income year </w:t>
      </w:r>
      <w:r w:rsidR="00165439">
        <w:t>when</w:t>
      </w:r>
      <w:r w:rsidRPr="009835D3">
        <w:t xml:space="preserve"> CGT event happened</w:t>
      </w:r>
      <w:r w:rsidR="00165439">
        <w:t>,</w:t>
      </w:r>
      <w:r w:rsidRPr="009835D3">
        <w:t xml:space="preserve"> and </w:t>
      </w:r>
      <w:r w:rsidR="00165439">
        <w:t xml:space="preserve">it </w:t>
      </w:r>
      <w:r w:rsidRPr="009835D3">
        <w:t>is more than 5% of the capital proceeds from the event.</w:t>
      </w:r>
    </w:p>
    <w:p w:rsidR="009835D3" w:rsidRPr="009835D3" w:rsidRDefault="00165439" w:rsidP="009835D3">
      <w:pPr>
        <w:pStyle w:val="Fullout"/>
      </w:pPr>
      <w:r>
        <w:t>T</w:t>
      </w:r>
      <w:r w:rsidR="009835D3" w:rsidRPr="009835D3">
        <w:t xml:space="preserve">his </w:t>
      </w:r>
      <w:r>
        <w:t>determination</w:t>
      </w:r>
      <w:r w:rsidR="009835D3" w:rsidRPr="009835D3">
        <w:t xml:space="preserve"> updates CGT </w:t>
      </w:r>
      <w:r>
        <w:t>D</w:t>
      </w:r>
      <w:r w:rsidR="009835D3" w:rsidRPr="009835D3">
        <w:t xml:space="preserve">etermination No 5 </w:t>
      </w:r>
      <w:r>
        <w:t>to apply</w:t>
      </w:r>
      <w:r w:rsidR="009835D3" w:rsidRPr="009835D3">
        <w:t xml:space="preserve"> </w:t>
      </w:r>
      <w:r>
        <w:t xml:space="preserve">to the </w:t>
      </w:r>
      <w:r w:rsidR="009835D3" w:rsidRPr="009835D3">
        <w:t xml:space="preserve">ITAA 1997 provisions, without </w:t>
      </w:r>
      <w:r w:rsidR="0025291A">
        <w:t>changing</w:t>
      </w:r>
      <w:r w:rsidR="009835D3" w:rsidRPr="009835D3">
        <w:t xml:space="preserve"> </w:t>
      </w:r>
      <w:r>
        <w:t>the CGT determ</w:t>
      </w:r>
      <w:r w:rsidR="0025291A">
        <w:t>i</w:t>
      </w:r>
      <w:r>
        <w:t xml:space="preserve">nation’s </w:t>
      </w:r>
      <w:r w:rsidR="009835D3" w:rsidRPr="009835D3">
        <w:t>substance.</w:t>
      </w:r>
    </w:p>
    <w:p w:rsidR="009835D3" w:rsidRPr="009835D3" w:rsidRDefault="009835D3" w:rsidP="009835D3">
      <w:pPr>
        <w:pStyle w:val="TipBox"/>
        <w:rPr>
          <w:rFonts w:eastAsia="Calibri"/>
          <w:szCs w:val="22"/>
        </w:rPr>
      </w:pPr>
      <w:r w:rsidRPr="009835D3">
        <w:rPr>
          <w:rStyle w:val="TIPCAPS"/>
        </w:rPr>
        <w:t>TIP:</w:t>
      </w:r>
      <w:r w:rsidRPr="009835D3">
        <w:t xml:space="preserve"> </w:t>
      </w:r>
      <w:r w:rsidR="0025291A">
        <w:t>Contact us if you would like more information about how this determination applies to your CGT situation.</w:t>
      </w:r>
    </w:p>
    <w:p w:rsidR="009835D3" w:rsidRPr="009835D3" w:rsidRDefault="009835D3" w:rsidP="009835D3">
      <w:pPr>
        <w:pStyle w:val="Heading1"/>
        <w:rPr>
          <w:rFonts w:eastAsia="Calibri"/>
          <w:szCs w:val="22"/>
        </w:rPr>
      </w:pPr>
      <w:r w:rsidRPr="009835D3">
        <w:t>Personal services income diverted to SMSFs</w:t>
      </w:r>
      <w:r w:rsidR="007B7EB6">
        <w:t>: ATO extends</w:t>
      </w:r>
      <w:r w:rsidRPr="009835D3">
        <w:t xml:space="preserve"> </w:t>
      </w:r>
      <w:r w:rsidR="007B7EB6">
        <w:t>offer</w:t>
      </w:r>
    </w:p>
    <w:p w:rsidR="006635E9" w:rsidRDefault="0025291A" w:rsidP="009835D3">
      <w:pPr>
        <w:pStyle w:val="Fullout"/>
      </w:pPr>
      <w:r w:rsidRPr="009835D3">
        <w:t xml:space="preserve">Since April 2016, the </w:t>
      </w:r>
      <w:r>
        <w:t>ATO</w:t>
      </w:r>
      <w:r w:rsidRPr="009835D3">
        <w:t xml:space="preserve"> has been reviewing arrangements where individuals divert personal services income (PSI) to a </w:t>
      </w:r>
      <w:r>
        <w:t>self managed super fund (</w:t>
      </w:r>
      <w:r w:rsidRPr="009835D3">
        <w:t>SMSF</w:t>
      </w:r>
      <w:r>
        <w:t>)</w:t>
      </w:r>
      <w:r w:rsidRPr="009835D3">
        <w:t>. The arrangements, described in Taxpayer Alert TA 2016/6, involve individuals (typically SMSF members at or approaching retirement age) performing services for a client but not directly receiv</w:t>
      </w:r>
      <w:r>
        <w:t>ing</w:t>
      </w:r>
      <w:r w:rsidRPr="009835D3">
        <w:t xml:space="preserve"> consideration for the services. Instead, the client </w:t>
      </w:r>
      <w:r w:rsidR="006635E9">
        <w:t>sends</w:t>
      </w:r>
      <w:r w:rsidRPr="009835D3">
        <w:t xml:space="preserve"> the consideration for the services to a company, trust or other non-individual entity.</w:t>
      </w:r>
    </w:p>
    <w:p w:rsidR="009835D3" w:rsidRPr="009835D3" w:rsidRDefault="009835D3" w:rsidP="009835D3">
      <w:pPr>
        <w:pStyle w:val="Fullout"/>
        <w:rPr>
          <w:rFonts w:eastAsia="Calibri"/>
          <w:szCs w:val="22"/>
        </w:rPr>
      </w:pPr>
      <w:r w:rsidRPr="009835D3">
        <w:t>The ATO</w:t>
      </w:r>
      <w:r w:rsidR="006635E9">
        <w:t xml:space="preserve"> has </w:t>
      </w:r>
      <w:r w:rsidR="00BA11EF">
        <w:t xml:space="preserve">previously </w:t>
      </w:r>
      <w:r w:rsidR="006635E9">
        <w:t xml:space="preserve">asked taxpayers to </w:t>
      </w:r>
      <w:r w:rsidR="00BA11EF">
        <w:t>help identify and resolve these issues</w:t>
      </w:r>
      <w:r w:rsidR="00D87190">
        <w:t xml:space="preserve"> before </w:t>
      </w:r>
      <w:r w:rsidR="00D87190" w:rsidRPr="009835D3">
        <w:t>31 January</w:t>
      </w:r>
      <w:r w:rsidR="00D87190">
        <w:t xml:space="preserve"> 2016</w:t>
      </w:r>
      <w:r w:rsidR="00BA11EF">
        <w:t>,</w:t>
      </w:r>
      <w:r w:rsidRPr="009835D3">
        <w:t xml:space="preserve"> offer</w:t>
      </w:r>
      <w:r w:rsidR="00BA11EF">
        <w:t>ing</w:t>
      </w:r>
      <w:r w:rsidRPr="009835D3">
        <w:t xml:space="preserve"> to remit </w:t>
      </w:r>
      <w:r w:rsidR="00BA11EF">
        <w:t>the related</w:t>
      </w:r>
      <w:r w:rsidR="00D87190">
        <w:t xml:space="preserve"> penalties</w:t>
      </w:r>
      <w:r w:rsidR="00BA11EF">
        <w:t xml:space="preserve">. That offer </w:t>
      </w:r>
      <w:r w:rsidRPr="009835D3">
        <w:t xml:space="preserve">has </w:t>
      </w:r>
      <w:r w:rsidR="00D87190">
        <w:t xml:space="preserve">now </w:t>
      </w:r>
      <w:r w:rsidRPr="009835D3">
        <w:t>been extended to 30 April 2017.</w:t>
      </w:r>
    </w:p>
    <w:p w:rsidR="009835D3" w:rsidRPr="009835D3" w:rsidRDefault="009835D3" w:rsidP="009835D3">
      <w:pPr>
        <w:pStyle w:val="Heading1"/>
        <w:rPr>
          <w:rFonts w:eastAsia="Calibri"/>
          <w:szCs w:val="22"/>
        </w:rPr>
      </w:pPr>
      <w:r w:rsidRPr="009835D3">
        <w:t>Depreciating assets</w:t>
      </w:r>
      <w:r w:rsidR="007B7EB6">
        <w:t>:</w:t>
      </w:r>
      <w:r w:rsidRPr="009835D3">
        <w:t xml:space="preserve"> composite items</w:t>
      </w:r>
    </w:p>
    <w:p w:rsidR="009835D3" w:rsidRPr="009835D3" w:rsidRDefault="009835D3" w:rsidP="009835D3">
      <w:pPr>
        <w:pStyle w:val="Fullout"/>
        <w:rPr>
          <w:rFonts w:eastAsia="Calibri"/>
          <w:szCs w:val="22"/>
        </w:rPr>
      </w:pPr>
      <w:r w:rsidRPr="009835D3">
        <w:t>Draft Taxation Ruling TR 2017/D1 sets out the Commissioner</w:t>
      </w:r>
      <w:r w:rsidR="00D87190">
        <w:t xml:space="preserve"> of Taxation’</w:t>
      </w:r>
      <w:r w:rsidRPr="009835D3">
        <w:t>s views on how to determine if a</w:t>
      </w:r>
      <w:r w:rsidR="00D87190">
        <w:t>n entire</w:t>
      </w:r>
      <w:r w:rsidRPr="009835D3">
        <w:t xml:space="preserve"> composite item is a depreciating asset or whether </w:t>
      </w:r>
      <w:r w:rsidR="00D87190">
        <w:t>its</w:t>
      </w:r>
      <w:r w:rsidR="00D87190" w:rsidRPr="009835D3">
        <w:t xml:space="preserve"> </w:t>
      </w:r>
      <w:r w:rsidRPr="009835D3">
        <w:t xml:space="preserve">component parts are separate depreciating assets. </w:t>
      </w:r>
      <w:r w:rsidR="00D87190">
        <w:t>The draft ruling says that</w:t>
      </w:r>
      <w:r w:rsidRPr="009835D3">
        <w:t xml:space="preserve"> a </w:t>
      </w:r>
      <w:r w:rsidR="00D87190">
        <w:t>“</w:t>
      </w:r>
      <w:r w:rsidRPr="009835D3">
        <w:t>composite item</w:t>
      </w:r>
      <w:r w:rsidR="00D87190">
        <w:t>”</w:t>
      </w:r>
      <w:r w:rsidRPr="009835D3">
        <w:t xml:space="preserve"> is an </w:t>
      </w:r>
      <w:r w:rsidR="00D87190">
        <w:t>asset</w:t>
      </w:r>
      <w:r w:rsidRPr="009835D3">
        <w:t xml:space="preserve"> made up of a number of components that </w:t>
      </w:r>
      <w:r w:rsidR="00D87190">
        <w:t xml:space="preserve">can exist </w:t>
      </w:r>
      <w:r w:rsidRPr="009835D3">
        <w:t>separate</w:t>
      </w:r>
      <w:r w:rsidR="00D87190">
        <w:t>ly. W</w:t>
      </w:r>
      <w:r w:rsidRPr="009835D3">
        <w:t xml:space="preserve">hether one or more of the </w:t>
      </w:r>
      <w:r w:rsidR="00D87190">
        <w:t xml:space="preserve">item’s </w:t>
      </w:r>
      <w:r w:rsidRPr="009835D3">
        <w:t xml:space="preserve">components </w:t>
      </w:r>
      <w:r w:rsidR="00D87190">
        <w:t>can be considered</w:t>
      </w:r>
      <w:r w:rsidRPr="009835D3">
        <w:t xml:space="preserve"> separate depreciating assets is a question of fact and degree to be determined in the </w:t>
      </w:r>
      <w:r w:rsidR="00D87190">
        <w:t xml:space="preserve">particular </w:t>
      </w:r>
      <w:r w:rsidRPr="009835D3">
        <w:t xml:space="preserve">circumstances. </w:t>
      </w:r>
      <w:r w:rsidR="00D87190">
        <w:t>F</w:t>
      </w:r>
      <w:r w:rsidRPr="009835D3">
        <w:t>or a component of a composite item to be considered a depreciating asset, the component</w:t>
      </w:r>
      <w:r w:rsidR="00D87190">
        <w:t xml:space="preserve"> must be</w:t>
      </w:r>
      <w:r w:rsidRPr="009835D3">
        <w:t xml:space="preserve"> separately </w:t>
      </w:r>
      <w:r w:rsidR="00D87190" w:rsidRPr="009835D3">
        <w:t>identifi</w:t>
      </w:r>
      <w:r w:rsidR="00D87190">
        <w:t xml:space="preserve">ble </w:t>
      </w:r>
      <w:r w:rsidRPr="009835D3">
        <w:t>as having commercial and economic value.</w:t>
      </w:r>
    </w:p>
    <w:p w:rsidR="009835D3" w:rsidRPr="009835D3" w:rsidRDefault="009835D3" w:rsidP="009835D3">
      <w:pPr>
        <w:pStyle w:val="TipBox"/>
        <w:rPr>
          <w:rFonts w:eastAsia="Calibri"/>
          <w:szCs w:val="22"/>
        </w:rPr>
      </w:pPr>
      <w:r w:rsidRPr="009835D3">
        <w:rPr>
          <w:rStyle w:val="TIPCAPS"/>
        </w:rPr>
        <w:t>TIP:</w:t>
      </w:r>
      <w:r w:rsidRPr="009835D3">
        <w:t xml:space="preserve"> The </w:t>
      </w:r>
      <w:r w:rsidR="00017B47">
        <w:t>d</w:t>
      </w:r>
      <w:r w:rsidRPr="009835D3">
        <w:t xml:space="preserve">raft </w:t>
      </w:r>
      <w:r w:rsidR="00017B47">
        <w:t>r</w:t>
      </w:r>
      <w:r w:rsidRPr="009835D3">
        <w:t xml:space="preserve">uling usefully lists the main principles to take into account </w:t>
      </w:r>
      <w:r w:rsidR="00017B47">
        <w:t xml:space="preserve">when </w:t>
      </w:r>
      <w:r w:rsidRPr="009835D3">
        <w:t xml:space="preserve">determining whether a composite item is a single depreciating asset or </w:t>
      </w:r>
      <w:r w:rsidR="00017B47">
        <w:t>is made up of multiple</w:t>
      </w:r>
      <w:r w:rsidRPr="009835D3">
        <w:t xml:space="preserve"> depreciating asset</w:t>
      </w:r>
      <w:r w:rsidR="00017B47">
        <w:t>s</w:t>
      </w:r>
      <w:r w:rsidRPr="009835D3">
        <w:t>.</w:t>
      </w:r>
      <w:r w:rsidR="00017B47">
        <w:t xml:space="preserve"> Contact us if you would like to know more.</w:t>
      </w:r>
    </w:p>
    <w:p w:rsidR="009835D3" w:rsidRPr="009835D3" w:rsidRDefault="009835D3" w:rsidP="009835D3">
      <w:pPr>
        <w:pStyle w:val="Heading1"/>
        <w:rPr>
          <w:rFonts w:eastAsia="Calibri"/>
          <w:szCs w:val="22"/>
        </w:rPr>
      </w:pPr>
      <w:r w:rsidRPr="009835D3">
        <w:t>Tax risk management and governance review guide released</w:t>
      </w:r>
    </w:p>
    <w:p w:rsidR="009835D3" w:rsidRPr="009835D3" w:rsidRDefault="009835D3" w:rsidP="009835D3">
      <w:pPr>
        <w:pStyle w:val="Fullout"/>
        <w:rPr>
          <w:rFonts w:eastAsia="Calibri"/>
          <w:szCs w:val="22"/>
        </w:rPr>
      </w:pPr>
      <w:r w:rsidRPr="009835D3">
        <w:t xml:space="preserve">The ATO has released a tax risk management and governance review guide to help businesses develop and test their governance and internal control frameworks, and demonstrate the effectiveness of their internal controls to reviewers and stakeholders. The guide sets out principles for board-level and managerial-level responsibilities, and </w:t>
      </w:r>
      <w:r w:rsidR="0051360E">
        <w:t xml:space="preserve">gives </w:t>
      </w:r>
      <w:r w:rsidRPr="009835D3">
        <w:t xml:space="preserve">examples of evidence that </w:t>
      </w:r>
      <w:r w:rsidR="0051360E">
        <w:t>a business</w:t>
      </w:r>
      <w:r w:rsidR="0051360E" w:rsidRPr="009835D3">
        <w:t xml:space="preserve"> </w:t>
      </w:r>
      <w:r w:rsidRPr="009835D3">
        <w:t xml:space="preserve">can provide to demonstrate the design and operational effectiveness of </w:t>
      </w:r>
      <w:r w:rsidR="0051360E">
        <w:t>its</w:t>
      </w:r>
      <w:r w:rsidR="0051360E" w:rsidRPr="009835D3">
        <w:t xml:space="preserve"> </w:t>
      </w:r>
      <w:r w:rsidRPr="009835D3">
        <w:t xml:space="preserve">control framework for tax risk. </w:t>
      </w:r>
      <w:r w:rsidR="0051360E">
        <w:t>The guide</w:t>
      </w:r>
      <w:r w:rsidR="0051360E" w:rsidRPr="009835D3">
        <w:t xml:space="preserve"> </w:t>
      </w:r>
      <w:r w:rsidRPr="009835D3">
        <w:t>was developed primarily for large and complex corporations, tax consolidated groups and foreign multinational corporations conducting business in Australia</w:t>
      </w:r>
      <w:r w:rsidR="0051360E">
        <w:t>, but</w:t>
      </w:r>
      <w:r w:rsidRPr="009835D3">
        <w:t xml:space="preserve"> </w:t>
      </w:r>
      <w:r w:rsidR="0051360E">
        <w:t>the ATO says t</w:t>
      </w:r>
      <w:r w:rsidRPr="009835D3">
        <w:t>he principles can be applied to a corporation of any size if tailored appropriately</w:t>
      </w:r>
      <w:r w:rsidR="0051360E">
        <w:t>.</w:t>
      </w:r>
    </w:p>
    <w:p w:rsidR="009835D3" w:rsidRPr="009835D3" w:rsidRDefault="009835D3" w:rsidP="009835D3">
      <w:pPr>
        <w:pStyle w:val="Heading1"/>
        <w:rPr>
          <w:rFonts w:eastAsia="Calibri"/>
          <w:szCs w:val="22"/>
        </w:rPr>
      </w:pPr>
      <w:r w:rsidRPr="009835D3">
        <w:t>Overtime meal expenses disallowed because no allowance received</w:t>
      </w:r>
    </w:p>
    <w:p w:rsidR="00325E55" w:rsidRDefault="009835D3" w:rsidP="009835D3">
      <w:pPr>
        <w:pStyle w:val="Fullout"/>
      </w:pPr>
      <w:r w:rsidRPr="009835D3">
        <w:t xml:space="preserve">A taxpayer </w:t>
      </w:r>
      <w:r w:rsidR="0051360E">
        <w:t xml:space="preserve">has </w:t>
      </w:r>
      <w:r w:rsidRPr="009835D3">
        <w:t>failed in claim</w:t>
      </w:r>
      <w:r w:rsidR="00325E55">
        <w:t>ing</w:t>
      </w:r>
      <w:r w:rsidRPr="009835D3">
        <w:t xml:space="preserve"> </w:t>
      </w:r>
      <w:r w:rsidR="00325E55" w:rsidRPr="009835D3">
        <w:t xml:space="preserve">deductions for overtime meal expenses </w:t>
      </w:r>
      <w:r w:rsidRPr="009835D3">
        <w:t xml:space="preserve">before the </w:t>
      </w:r>
      <w:r w:rsidR="0051360E">
        <w:t>Administrative Appeals Tribunal (</w:t>
      </w:r>
      <w:r w:rsidRPr="009835D3">
        <w:t>AAT</w:t>
      </w:r>
      <w:r w:rsidR="0051360E">
        <w:t>)</w:t>
      </w:r>
      <w:r w:rsidR="00325E55">
        <w:t>. The AAT denied his appeal</w:t>
      </w:r>
      <w:r w:rsidRPr="009835D3">
        <w:t xml:space="preserve"> </w:t>
      </w:r>
      <w:r w:rsidR="00325E55">
        <w:t>because</w:t>
      </w:r>
      <w:r w:rsidRPr="009835D3">
        <w:t xml:space="preserve"> he was not paid an allowance under an industrial agreement.</w:t>
      </w:r>
    </w:p>
    <w:p w:rsidR="009835D3" w:rsidRPr="009835D3" w:rsidRDefault="00325E55" w:rsidP="009835D3">
      <w:pPr>
        <w:pStyle w:val="Fullout"/>
        <w:rPr>
          <w:rFonts w:eastAsia="Calibri"/>
          <w:szCs w:val="22"/>
        </w:rPr>
      </w:pPr>
      <w:r>
        <w:t>T</w:t>
      </w:r>
      <w:r w:rsidR="009835D3" w:rsidRPr="009835D3">
        <w:t xml:space="preserve">he AAT noted that whether overtime meal expenses </w:t>
      </w:r>
      <w:r>
        <w:t>are</w:t>
      </w:r>
      <w:r w:rsidRPr="009835D3">
        <w:t xml:space="preserve"> </w:t>
      </w:r>
      <w:r w:rsidR="009835D3" w:rsidRPr="009835D3">
        <w:t xml:space="preserve">deductible </w:t>
      </w:r>
      <w:r>
        <w:t xml:space="preserve">according to the tax law </w:t>
      </w:r>
      <w:r w:rsidR="009835D3" w:rsidRPr="009835D3">
        <w:t>depen</w:t>
      </w:r>
      <w:r>
        <w:t>ds</w:t>
      </w:r>
      <w:r w:rsidR="009835D3" w:rsidRPr="009835D3">
        <w:t xml:space="preserve"> on whether the taxpayer receive</w:t>
      </w:r>
      <w:r>
        <w:t>s</w:t>
      </w:r>
      <w:r w:rsidR="009835D3" w:rsidRPr="009835D3">
        <w:t xml:space="preserve"> a food or drink allowance under an industrial instrument. The AAT agreed with the Commissioner </w:t>
      </w:r>
      <w:r>
        <w:t xml:space="preserve">of Taxation </w:t>
      </w:r>
      <w:r w:rsidR="009835D3" w:rsidRPr="009835D3">
        <w:t>that the taxpayer had not received an allowance</w:t>
      </w:r>
      <w:r>
        <w:t xml:space="preserve"> of this kind</w:t>
      </w:r>
      <w:r w:rsidR="009835D3" w:rsidRPr="009835D3">
        <w:t xml:space="preserve"> and, in fact,</w:t>
      </w:r>
      <w:r w:rsidR="009835D3">
        <w:t xml:space="preserve"> </w:t>
      </w:r>
      <w:r w:rsidR="009835D3" w:rsidRPr="009835D3">
        <w:t>had not received any allowance at all.</w:t>
      </w:r>
    </w:p>
    <w:p w:rsidR="009835D3" w:rsidRPr="009835D3" w:rsidRDefault="007B7EB6" w:rsidP="009835D3">
      <w:pPr>
        <w:pStyle w:val="Heading1"/>
        <w:rPr>
          <w:rFonts w:eastAsia="Calibri"/>
          <w:szCs w:val="22"/>
        </w:rPr>
      </w:pPr>
      <w:r>
        <w:t>T</w:t>
      </w:r>
      <w:r w:rsidR="009835D3" w:rsidRPr="009835D3">
        <w:t xml:space="preserve">ime </w:t>
      </w:r>
      <w:r>
        <w:t xml:space="preserve">extension </w:t>
      </w:r>
      <w:r w:rsidR="009835D3" w:rsidRPr="009835D3">
        <w:t>to review objection decisions disallowed</w:t>
      </w:r>
      <w:r>
        <w:t xml:space="preserve"> – again!</w:t>
      </w:r>
    </w:p>
    <w:p w:rsidR="0042323C" w:rsidRDefault="009835D3" w:rsidP="00A72457">
      <w:pPr>
        <w:pStyle w:val="Fullout"/>
        <w:spacing w:line="240" w:lineRule="exact"/>
      </w:pPr>
      <w:r w:rsidRPr="009835D3">
        <w:t xml:space="preserve">The </w:t>
      </w:r>
      <w:r w:rsidR="00325E55">
        <w:t>Administrative Appeals Tribunal</w:t>
      </w:r>
      <w:r w:rsidR="00325E55" w:rsidRPr="009835D3">
        <w:t xml:space="preserve"> </w:t>
      </w:r>
      <w:r w:rsidR="00325E55">
        <w:t>(</w:t>
      </w:r>
      <w:r w:rsidRPr="009835D3">
        <w:t>AAT</w:t>
      </w:r>
      <w:r w:rsidR="00325E55">
        <w:t>)</w:t>
      </w:r>
      <w:r w:rsidRPr="009835D3">
        <w:t xml:space="preserve"> has refused to </w:t>
      </w:r>
      <w:r w:rsidR="00D40807">
        <w:t>allow</w:t>
      </w:r>
      <w:r w:rsidR="00D40807" w:rsidRPr="009835D3">
        <w:t xml:space="preserve"> </w:t>
      </w:r>
      <w:r w:rsidRPr="009835D3">
        <w:t>a taxpayer</w:t>
      </w:r>
      <w:r w:rsidR="00325E55">
        <w:t xml:space="preserve"> extra time</w:t>
      </w:r>
      <w:r w:rsidRPr="009835D3">
        <w:t xml:space="preserve"> to </w:t>
      </w:r>
      <w:r w:rsidR="00325E55">
        <w:t xml:space="preserve">apply </w:t>
      </w:r>
      <w:r w:rsidRPr="009835D3">
        <w:t>for</w:t>
      </w:r>
      <w:r w:rsidR="0042323C">
        <w:t xml:space="preserve"> </w:t>
      </w:r>
      <w:r w:rsidRPr="009835D3">
        <w:t xml:space="preserve">review of </w:t>
      </w:r>
      <w:r w:rsidR="0042323C">
        <w:t>a decision made by the Commissioner of Taxation</w:t>
      </w:r>
      <w:r w:rsidRPr="009835D3">
        <w:t xml:space="preserve">. The taxpayer had previously made the same application </w:t>
      </w:r>
      <w:r w:rsidR="0042323C">
        <w:t xml:space="preserve">for an extension, </w:t>
      </w:r>
      <w:r w:rsidR="00D40807">
        <w:t xml:space="preserve">seven years after the Commissioner’s decision, </w:t>
      </w:r>
      <w:r w:rsidR="0042323C">
        <w:t xml:space="preserve">but </w:t>
      </w:r>
      <w:r w:rsidR="0042323C" w:rsidRPr="009835D3">
        <w:t>both the AAT</w:t>
      </w:r>
      <w:r w:rsidR="0042323C">
        <w:t xml:space="preserve"> and</w:t>
      </w:r>
      <w:r w:rsidR="0042323C" w:rsidRPr="009835D3">
        <w:t xml:space="preserve"> the Federal Court</w:t>
      </w:r>
      <w:r w:rsidR="0042323C">
        <w:t xml:space="preserve"> </w:t>
      </w:r>
      <w:r w:rsidRPr="009835D3">
        <w:t xml:space="preserve">refused </w:t>
      </w:r>
      <w:r w:rsidR="0042323C">
        <w:t>it</w:t>
      </w:r>
      <w:r w:rsidR="00D40807">
        <w:t>.</w:t>
      </w:r>
    </w:p>
    <w:p w:rsidR="009835D3" w:rsidRDefault="009835D3" w:rsidP="00A72457">
      <w:pPr>
        <w:pStyle w:val="Fullout"/>
        <w:spacing w:line="240" w:lineRule="exact"/>
      </w:pPr>
      <w:r w:rsidRPr="009835D3">
        <w:t xml:space="preserve">In this </w:t>
      </w:r>
      <w:r w:rsidR="00D40807">
        <w:t xml:space="preserve">later </w:t>
      </w:r>
      <w:r w:rsidRPr="009835D3">
        <w:t xml:space="preserve">case, the AAT found that the taxpayer's application should not be allowed </w:t>
      </w:r>
      <w:r w:rsidR="0042323C">
        <w:t>because</w:t>
      </w:r>
      <w:r w:rsidR="0042323C" w:rsidRPr="009835D3">
        <w:t xml:space="preserve"> </w:t>
      </w:r>
      <w:r w:rsidR="0042323C">
        <w:t>he had still not adequately explained why it took him seven</w:t>
      </w:r>
      <w:r w:rsidRPr="009835D3">
        <w:t xml:space="preserve"> year</w:t>
      </w:r>
      <w:r w:rsidR="0042323C">
        <w:t>s to ask for an extension and a decision review</w:t>
      </w:r>
      <w:r w:rsidRPr="009835D3">
        <w:t>.</w:t>
      </w:r>
    </w:p>
    <w:p w:rsidR="009835D3" w:rsidRPr="009835D3" w:rsidRDefault="00A72457" w:rsidP="009835D3">
      <w:pPr>
        <w:pStyle w:val="TipBox"/>
        <w:rPr>
          <w:rFonts w:eastAsia="Calibri"/>
          <w:szCs w:val="22"/>
        </w:rPr>
      </w:pPr>
      <w:r>
        <w:rPr>
          <w:rFonts w:eastAsia="Calibri"/>
          <w:szCs w:val="22"/>
        </w:rPr>
        <w:br w:type="column"/>
      </w:r>
      <w:r w:rsidR="009835D3" w:rsidRPr="009835D3">
        <w:rPr>
          <w:rStyle w:val="TIPCAPS"/>
        </w:rPr>
        <w:t>TIP:</w:t>
      </w:r>
      <w:r w:rsidR="009835D3" w:rsidRPr="009835D3">
        <w:t xml:space="preserve"> Th</w:t>
      </w:r>
      <w:r w:rsidR="00D40807">
        <w:t>is</w:t>
      </w:r>
      <w:r w:rsidR="009835D3" w:rsidRPr="009835D3">
        <w:t xml:space="preserve"> decision illustrates that a taxpayer can continue to apply to the AAT for extension of time to </w:t>
      </w:r>
      <w:r w:rsidR="00D40807">
        <w:t>apply</w:t>
      </w:r>
      <w:r w:rsidR="009835D3" w:rsidRPr="009835D3">
        <w:t xml:space="preserve"> for review of the Commissioner's decision</w:t>
      </w:r>
      <w:r w:rsidR="00D40807">
        <w:t xml:space="preserve"> </w:t>
      </w:r>
      <w:r w:rsidR="009835D3" w:rsidRPr="009835D3">
        <w:t>disallow</w:t>
      </w:r>
      <w:r w:rsidR="00D40807">
        <w:t>ing</w:t>
      </w:r>
      <w:r w:rsidR="009835D3" w:rsidRPr="009835D3">
        <w:t xml:space="preserve"> an objection, even after being previously rebuffed. </w:t>
      </w:r>
      <w:r w:rsidR="00D40807">
        <w:t>T</w:t>
      </w:r>
      <w:r w:rsidR="00D40807" w:rsidRPr="009835D3">
        <w:t>h</w:t>
      </w:r>
      <w:r w:rsidR="00D40807">
        <w:t>e</w:t>
      </w:r>
      <w:r w:rsidR="00D40807" w:rsidRPr="009835D3">
        <w:t xml:space="preserve"> </w:t>
      </w:r>
      <w:r w:rsidR="00D40807">
        <w:t xml:space="preserve">additional </w:t>
      </w:r>
      <w:r w:rsidR="009835D3" w:rsidRPr="009835D3">
        <w:t xml:space="preserve">application </w:t>
      </w:r>
      <w:r w:rsidR="00D40807">
        <w:t xml:space="preserve">must include </w:t>
      </w:r>
      <w:r w:rsidR="009835D3" w:rsidRPr="009835D3">
        <w:t xml:space="preserve">new claims and the taxpayer’s case </w:t>
      </w:r>
      <w:r w:rsidR="00D40807">
        <w:t xml:space="preserve">must have </w:t>
      </w:r>
      <w:r w:rsidR="009835D3" w:rsidRPr="009835D3">
        <w:t>merit</w:t>
      </w:r>
      <w:r w:rsidR="00D40807">
        <w:t>.</w:t>
      </w:r>
    </w:p>
    <w:p w:rsidR="009835D3" w:rsidRPr="007B7EB6" w:rsidRDefault="007B7EB6" w:rsidP="009835D3">
      <w:pPr>
        <w:pStyle w:val="Heading1"/>
      </w:pPr>
      <w:r w:rsidRPr="007B7EB6">
        <w:t>No deduction or capital loss for apparent guarantee liability</w:t>
      </w:r>
    </w:p>
    <w:p w:rsidR="009835D3" w:rsidRPr="009835D3" w:rsidRDefault="009835D3" w:rsidP="009835D3">
      <w:pPr>
        <w:pStyle w:val="Fullout"/>
        <w:rPr>
          <w:rFonts w:eastAsia="Calibri"/>
          <w:szCs w:val="22"/>
        </w:rPr>
      </w:pPr>
      <w:r w:rsidRPr="009835D3">
        <w:t xml:space="preserve">The </w:t>
      </w:r>
      <w:r w:rsidR="008C1632">
        <w:t>Administrative Appeals Tribunal (</w:t>
      </w:r>
      <w:r w:rsidRPr="009835D3">
        <w:t>AAT</w:t>
      </w:r>
      <w:r w:rsidR="008C1632">
        <w:t>)</w:t>
      </w:r>
      <w:r w:rsidRPr="009835D3">
        <w:t xml:space="preserve"> has affirmed that </w:t>
      </w:r>
      <w:r w:rsidR="000948D0">
        <w:t>two</w:t>
      </w:r>
      <w:r w:rsidR="000948D0" w:rsidRPr="009835D3">
        <w:t xml:space="preserve"> </w:t>
      </w:r>
      <w:r w:rsidRPr="009835D3">
        <w:t>family trusts that were involved in a building and construction business with other related entities were not entitled to a deduction or a capital loss for $4.3</w:t>
      </w:r>
      <w:r w:rsidR="000948D0">
        <w:t> </w:t>
      </w:r>
      <w:r w:rsidRPr="009835D3">
        <w:t>m</w:t>
      </w:r>
      <w:r w:rsidR="000948D0">
        <w:t>illion</w:t>
      </w:r>
      <w:r w:rsidRPr="009835D3">
        <w:t xml:space="preserve"> </w:t>
      </w:r>
      <w:r w:rsidR="000948D0">
        <w:t xml:space="preserve">that </w:t>
      </w:r>
      <w:r w:rsidRPr="009835D3">
        <w:t xml:space="preserve">they claimed related to a guarantee liability. The AAT found that </w:t>
      </w:r>
      <w:r w:rsidR="000948D0">
        <w:t xml:space="preserve">the documentary evidence </w:t>
      </w:r>
      <w:r w:rsidRPr="009835D3">
        <w:t xml:space="preserve">and the oral evidence </w:t>
      </w:r>
      <w:r w:rsidR="000948D0">
        <w:t>from</w:t>
      </w:r>
      <w:r w:rsidR="000948D0" w:rsidRPr="009835D3">
        <w:t xml:space="preserve"> </w:t>
      </w:r>
      <w:r w:rsidRPr="009835D3">
        <w:t xml:space="preserve">the relevant </w:t>
      </w:r>
      <w:r w:rsidR="000948D0" w:rsidRPr="009835D3">
        <w:t>trust</w:t>
      </w:r>
      <w:r w:rsidR="000948D0">
        <w:t xml:space="preserve"> </w:t>
      </w:r>
      <w:r w:rsidRPr="009835D3">
        <w:t xml:space="preserve">controllers was not sufficient support </w:t>
      </w:r>
      <w:r w:rsidR="000948D0">
        <w:t xml:space="preserve">for their claim that </w:t>
      </w:r>
      <w:r w:rsidRPr="009835D3">
        <w:t>the guarantee obligation</w:t>
      </w:r>
      <w:r w:rsidR="000948D0">
        <w:t xml:space="preserve"> existed</w:t>
      </w:r>
      <w:r w:rsidRPr="009835D3">
        <w:t xml:space="preserve">. </w:t>
      </w:r>
      <w:r w:rsidR="000948D0">
        <w:t>T</w:t>
      </w:r>
      <w:r w:rsidRPr="009835D3">
        <w:t xml:space="preserve">he AAT noted that unusual features of the </w:t>
      </w:r>
      <w:r w:rsidR="000948D0">
        <w:t>“</w:t>
      </w:r>
      <w:r w:rsidRPr="009835D3">
        <w:t>guarantee deed</w:t>
      </w:r>
      <w:r w:rsidR="000948D0">
        <w:t>”</w:t>
      </w:r>
      <w:r w:rsidRPr="009835D3">
        <w:t xml:space="preserve"> that put into question whether the trusts were genuinely subject to a guarantee obligation </w:t>
      </w:r>
      <w:r w:rsidR="000948D0">
        <w:t>–</w:t>
      </w:r>
      <w:r w:rsidRPr="009835D3">
        <w:t xml:space="preserve"> including that the deed did not record any </w:t>
      </w:r>
      <w:r w:rsidR="000948D0">
        <w:t>actions</w:t>
      </w:r>
      <w:r w:rsidR="000948D0" w:rsidRPr="009835D3">
        <w:t xml:space="preserve"> </w:t>
      </w:r>
      <w:r w:rsidR="000948D0">
        <w:t xml:space="preserve">that </w:t>
      </w:r>
      <w:r w:rsidRPr="009835D3">
        <w:t xml:space="preserve">the guarantors were to perform </w:t>
      </w:r>
      <w:r w:rsidR="000948D0">
        <w:t>if the debtor defaulted</w:t>
      </w:r>
      <w:r w:rsidRPr="009835D3">
        <w:t>.</w:t>
      </w:r>
    </w:p>
    <w:p w:rsidR="009835D3" w:rsidRPr="009835D3" w:rsidRDefault="009835D3" w:rsidP="009835D3">
      <w:pPr>
        <w:pStyle w:val="Heading1"/>
        <w:rPr>
          <w:rFonts w:eastAsia="Calibri"/>
          <w:szCs w:val="22"/>
        </w:rPr>
      </w:pPr>
      <w:r w:rsidRPr="00B81443">
        <w:t xml:space="preserve">Taxpayer denied deduction for work expenses </w:t>
      </w:r>
      <w:r w:rsidR="004014E7" w:rsidRPr="00B81443">
        <w:t>of $60,000</w:t>
      </w:r>
    </w:p>
    <w:p w:rsidR="009835D3" w:rsidRPr="009835D3" w:rsidRDefault="009835D3" w:rsidP="00B81443">
      <w:pPr>
        <w:pStyle w:val="Fullout"/>
        <w:rPr>
          <w:rFonts w:eastAsia="Calibri"/>
          <w:szCs w:val="22"/>
        </w:rPr>
      </w:pPr>
      <w:r w:rsidRPr="009835D3">
        <w:t xml:space="preserve">The </w:t>
      </w:r>
      <w:r w:rsidR="00B81443">
        <w:t>Administrative Appeals Tribunal (</w:t>
      </w:r>
      <w:r w:rsidRPr="009835D3">
        <w:t>AAT</w:t>
      </w:r>
      <w:r w:rsidR="00B81443">
        <w:t>)</w:t>
      </w:r>
      <w:r w:rsidRPr="009835D3">
        <w:t xml:space="preserve"> has confirmed that a mechanical engineer with a PhD qualification was not entitled to deductions for various work</w:t>
      </w:r>
      <w:r w:rsidR="00B81443">
        <w:t>-</w:t>
      </w:r>
      <w:r w:rsidRPr="009835D3">
        <w:t xml:space="preserve">related expenses </w:t>
      </w:r>
      <w:r w:rsidR="00B81443">
        <w:t>totally</w:t>
      </w:r>
      <w:r w:rsidR="00B81443" w:rsidRPr="009835D3">
        <w:t xml:space="preserve"> </w:t>
      </w:r>
      <w:r w:rsidRPr="009835D3">
        <w:t>approximately $60,000. The expense</w:t>
      </w:r>
      <w:r w:rsidR="00B81443">
        <w:t xml:space="preserve"> claims</w:t>
      </w:r>
      <w:r w:rsidRPr="009835D3">
        <w:t xml:space="preserve"> in question (</w:t>
      </w:r>
      <w:r w:rsidR="00B81443">
        <w:t xml:space="preserve">for </w:t>
      </w:r>
      <w:r w:rsidRPr="009835D3">
        <w:t xml:space="preserve">vehicle, self-education and other work expenses), were denied </w:t>
      </w:r>
      <w:r w:rsidR="00B81443">
        <w:t>because</w:t>
      </w:r>
      <w:r w:rsidRPr="009835D3">
        <w:t xml:space="preserve"> the taxpayer</w:t>
      </w:r>
      <w:r w:rsidR="00B81443">
        <w:t xml:space="preserve"> was unable</w:t>
      </w:r>
      <w:r w:rsidRPr="009835D3">
        <w:t xml:space="preserve"> to establish the requi</w:t>
      </w:r>
      <w:r w:rsidR="00B81443">
        <w:t>red connection</w:t>
      </w:r>
      <w:r w:rsidRPr="009835D3">
        <w:t xml:space="preserve"> between the </w:t>
      </w:r>
      <w:r w:rsidR="00B81443" w:rsidRPr="009835D3">
        <w:t>outgoing</w:t>
      </w:r>
      <w:r w:rsidR="00B81443">
        <w:t xml:space="preserve"> amounts</w:t>
      </w:r>
      <w:r w:rsidR="00B81443" w:rsidRPr="009835D3">
        <w:t xml:space="preserve"> </w:t>
      </w:r>
      <w:r w:rsidRPr="009835D3">
        <w:t xml:space="preserve">and the derivation of his assessable </w:t>
      </w:r>
      <w:r w:rsidR="00B81443">
        <w:t xml:space="preserve">income </w:t>
      </w:r>
      <w:r w:rsidRPr="009835D3">
        <w:t>as a mechanical engineer. Furthermore, in relation to a range of miscellaneous expenses (such as mobile phone and internet charges, professional membership fees, conference fees and depreciation), the AAT found that most of the deduction</w:t>
      </w:r>
      <w:r w:rsidR="00B81443">
        <w:t>s</w:t>
      </w:r>
      <w:r w:rsidRPr="009835D3">
        <w:t xml:space="preserve"> were not substantiated </w:t>
      </w:r>
      <w:r w:rsidR="00B81443">
        <w:t xml:space="preserve">with </w:t>
      </w:r>
      <w:r w:rsidR="008C68B7">
        <w:t xml:space="preserve">sufficient (or any) </w:t>
      </w:r>
      <w:r w:rsidR="00B81443">
        <w:t xml:space="preserve">evidence. The </w:t>
      </w:r>
      <w:r w:rsidR="008C68B7">
        <w:t>AAT</w:t>
      </w:r>
      <w:r w:rsidR="00B81443">
        <w:t xml:space="preserve"> did not exercise its</w:t>
      </w:r>
      <w:r w:rsidRPr="009835D3">
        <w:t xml:space="preserve"> discretion to allow </w:t>
      </w:r>
      <w:r w:rsidR="00B81443">
        <w:t>the</w:t>
      </w:r>
      <w:r w:rsidR="008C68B7">
        <w:t>se</w:t>
      </w:r>
      <w:r w:rsidRPr="009835D3">
        <w:t xml:space="preserve"> deduction</w:t>
      </w:r>
      <w:r w:rsidR="00B81443">
        <w:t>s</w:t>
      </w:r>
      <w:r w:rsidRPr="009835D3">
        <w:t xml:space="preserve"> on the basis of the </w:t>
      </w:r>
      <w:r w:rsidR="00B81443">
        <w:t>“</w:t>
      </w:r>
      <w:r w:rsidRPr="009835D3">
        <w:t>nature and quality</w:t>
      </w:r>
      <w:r w:rsidR="00B81443">
        <w:t>”</w:t>
      </w:r>
      <w:r w:rsidRPr="009835D3">
        <w:t xml:space="preserve"> of any other evidence regarding the </w:t>
      </w:r>
      <w:r w:rsidR="00B81443">
        <w:t>taxpyer’s incurring</w:t>
      </w:r>
      <w:r w:rsidRPr="009835D3">
        <w:t xml:space="preserve"> the expense</w:t>
      </w:r>
      <w:r w:rsidR="00B81443">
        <w:t>s</w:t>
      </w:r>
      <w:r w:rsidRPr="009835D3">
        <w:t>.</w:t>
      </w:r>
    </w:p>
    <w:p w:rsidR="009835D3" w:rsidRPr="009835D3" w:rsidRDefault="009835D3" w:rsidP="009835D3">
      <w:pPr>
        <w:pStyle w:val="TipBox"/>
        <w:rPr>
          <w:rFonts w:eastAsia="Calibri"/>
          <w:szCs w:val="22"/>
        </w:rPr>
      </w:pPr>
      <w:r w:rsidRPr="009835D3">
        <w:rPr>
          <w:rStyle w:val="TIPCAPS"/>
        </w:rPr>
        <w:t>TIP:</w:t>
      </w:r>
      <w:r w:rsidRPr="009835D3">
        <w:t xml:space="preserve"> Th</w:t>
      </w:r>
      <w:r w:rsidR="00C76383">
        <w:t>is</w:t>
      </w:r>
      <w:r w:rsidRPr="009835D3">
        <w:t xml:space="preserve"> case </w:t>
      </w:r>
      <w:r w:rsidR="00C76383">
        <w:t xml:space="preserve">clearly shows </w:t>
      </w:r>
      <w:r w:rsidRPr="009835D3">
        <w:t xml:space="preserve">the </w:t>
      </w:r>
      <w:r w:rsidR="00C76383">
        <w:t xml:space="preserve">importance of </w:t>
      </w:r>
      <w:r w:rsidRPr="009835D3">
        <w:t>properly substantiat</w:t>
      </w:r>
      <w:r w:rsidR="00C76383">
        <w:t>ing</w:t>
      </w:r>
      <w:r w:rsidRPr="009835D3">
        <w:t xml:space="preserve"> </w:t>
      </w:r>
      <w:r w:rsidR="00C76383">
        <w:t xml:space="preserve">any claims you make for </w:t>
      </w:r>
      <w:r w:rsidRPr="009835D3">
        <w:t>work-related expense</w:t>
      </w:r>
      <w:r w:rsidR="00C76383">
        <w:t xml:space="preserve"> deductions. Contact us to discuss what documentation you should keep to make tax time easier.</w:t>
      </w:r>
    </w:p>
    <w:p w:rsidR="00DF0200" w:rsidRPr="009835D3" w:rsidRDefault="00DF0200" w:rsidP="009835D3">
      <w:pPr>
        <w:pStyle w:val="Fullout"/>
      </w:pPr>
    </w:p>
    <w:sectPr w:rsidR="00DF0200" w:rsidRPr="009835D3" w:rsidSect="009F0EA5">
      <w:footerReference w:type="default" r:id="rId8"/>
      <w:headerReference w:type="first" r:id="rId9"/>
      <w:footerReference w:type="first" r:id="rId10"/>
      <w:pgSz w:w="11906" w:h="16838" w:code="9"/>
      <w:pgMar w:top="851" w:right="851" w:bottom="851" w:left="851" w:header="567" w:footer="284" w:gutter="0"/>
      <w:cols w:num="2" w:space="45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383" w:rsidRDefault="00C76383">
      <w:r>
        <w:separator/>
      </w:r>
    </w:p>
  </w:endnote>
  <w:endnote w:type="continuationSeparator" w:id="0">
    <w:p w:rsidR="00C76383" w:rsidRDefault="00C76383">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383" w:rsidRDefault="00C76383" w:rsidP="0002708B">
    <w:pPr>
      <w:pStyle w:val="Footer"/>
      <w:pBdr>
        <w:top w:val="single" w:sz="4" w:space="3" w:color="auto"/>
        <w:left w:val="single" w:sz="4" w:space="3" w:color="auto"/>
        <w:bottom w:val="single" w:sz="4" w:space="3" w:color="auto"/>
        <w:right w:val="single" w:sz="4" w:space="3" w:color="auto"/>
      </w:pBdr>
      <w:tabs>
        <w:tab w:val="clear" w:pos="4320"/>
        <w:tab w:val="clear" w:pos="8640"/>
      </w:tabs>
      <w:spacing w:before="80" w:after="80"/>
      <w:ind w:left="62" w:right="61"/>
      <w:jc w:val="both"/>
      <w:rPr>
        <w:sz w:val="16"/>
        <w:szCs w:val="16"/>
      </w:rPr>
    </w:pPr>
    <w:r w:rsidRPr="0002708B">
      <w:rPr>
        <w:b/>
        <w:sz w:val="16"/>
        <w:szCs w:val="16"/>
      </w:rPr>
      <w:t>Important</w:t>
    </w:r>
    <w:r w:rsidRPr="00B52F5C">
      <w:rPr>
        <w:sz w:val="16"/>
        <w:szCs w:val="16"/>
      </w:rPr>
      <w:t xml:space="preserve">: </w:t>
    </w:r>
    <w:r>
      <w:rPr>
        <w:sz w:val="16"/>
        <w:szCs w:val="16"/>
      </w:rPr>
      <w:t>Clients should not act solely on the basis of the material contained in Client Alert. Items herein are general comments only and do not constitute or convey advice per se. Also changes in legislation may occur quickly. We therefore recommend that our formal advice be sought before acting in any of the areas. Client Alert is issued as a helpful guide to clients and for their private information. Therefore it should be regarded as confidential and not be made available to any person without our prior approval.</w:t>
    </w:r>
  </w:p>
  <w:p w:rsidR="00C76383" w:rsidRPr="00B52F5C" w:rsidRDefault="00C76383">
    <w:pPr>
      <w:pStyle w:val="Footer"/>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383" w:rsidRPr="009F0EA5" w:rsidRDefault="00C76383" w:rsidP="009F0EA5">
    <w:pPr>
      <w:pStyle w:val="Footer"/>
      <w:spacing w:after="40"/>
      <w:jc w:val="right"/>
      <w:rPr>
        <w:b/>
        <w:sz w:val="24"/>
      </w:rPr>
    </w:pPr>
    <w:r>
      <w:rPr>
        <w:b/>
        <w:sz w:val="24"/>
      </w:rPr>
      <w:t>March 2017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383" w:rsidRDefault="00C76383">
      <w:r>
        <w:separator/>
      </w:r>
    </w:p>
  </w:footnote>
  <w:footnote w:type="continuationSeparator" w:id="0">
    <w:p w:rsidR="00C76383" w:rsidRDefault="00C763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383" w:rsidRDefault="00C76383" w:rsidP="004D032E">
    <w:pPr>
      <w:pStyle w:val="Header"/>
    </w:pPr>
  </w:p>
  <w:p w:rsidR="00C76383" w:rsidRDefault="00C76383" w:rsidP="004D032E">
    <w:pPr>
      <w:pStyle w:val="Header"/>
    </w:pPr>
  </w:p>
  <w:p w:rsidR="00C76383" w:rsidRDefault="00C76383" w:rsidP="009F0EA5">
    <w:pPr>
      <w:jc w:val="center"/>
      <w:rPr>
        <w:rFonts w:ascii="Arial Black" w:hAnsi="Arial Black"/>
        <w:sz w:val="72"/>
      </w:rPr>
    </w:pPr>
    <w:r>
      <w:rPr>
        <w:rFonts w:ascii="Arial Black" w:hAnsi="Arial Black"/>
        <w:sz w:val="72"/>
      </w:rPr>
      <w:t>client alert</w:t>
    </w:r>
  </w:p>
  <w:p w:rsidR="00C76383" w:rsidRDefault="00C76383" w:rsidP="009F0EA5">
    <w:pPr>
      <w:spacing w:before="40"/>
      <w:jc w:val="center"/>
      <w:rPr>
        <w:spacing w:val="-12"/>
        <w:sz w:val="44"/>
      </w:rPr>
    </w:pPr>
    <w:r>
      <w:rPr>
        <w:spacing w:val="-12"/>
        <w:sz w:val="44"/>
      </w:rPr>
      <w:t>tax news | views | clues</w:t>
    </w:r>
  </w:p>
  <w:p w:rsidR="00C76383" w:rsidRDefault="00C76383" w:rsidP="004D03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7438E"/>
    <w:multiLevelType w:val="singleLevel"/>
    <w:tmpl w:val="A8181630"/>
    <w:lvl w:ilvl="0">
      <w:start w:val="1"/>
      <w:numFmt w:val="bullet"/>
      <w:lvlText w:val="·"/>
      <w:lvlJc w:val="left"/>
      <w:pPr>
        <w:tabs>
          <w:tab w:val="num" w:pos="360"/>
        </w:tabs>
        <w:ind w:left="360" w:hanging="360"/>
      </w:pPr>
      <w:rPr>
        <w:rFonts w:ascii="Times" w:hAnsi="Times" w:cs="Times New Roman" w:hint="default"/>
        <w:position w:val="-16"/>
        <w:sz w:val="72"/>
      </w:rPr>
    </w:lvl>
  </w:abstractNum>
  <w:abstractNum w:abstractNumId="1">
    <w:nsid w:val="06521A8A"/>
    <w:multiLevelType w:val="hybridMultilevel"/>
    <w:tmpl w:val="6F383BCA"/>
    <w:lvl w:ilvl="0" w:tplc="380C9FBE">
      <w:start w:val="1"/>
      <w:numFmt w:val="bullet"/>
      <w:lvlText w:val="•"/>
      <w:lvlJc w:val="left"/>
      <w:pPr>
        <w:tabs>
          <w:tab w:val="num" w:pos="360"/>
        </w:tabs>
        <w:ind w:left="360" w:hanging="360"/>
      </w:pPr>
      <w:rPr>
        <w:rFonts w:ascii="Arial" w:hAnsi="Arial" w:hint="default"/>
        <w:b w:val="0"/>
        <w:i w:val="0"/>
        <w:caps w:val="0"/>
        <w:strike w:val="0"/>
        <w:dstrike w:val="0"/>
        <w:outline w:val="0"/>
        <w:shadow w:val="0"/>
        <w:emboss w:val="0"/>
        <w:imprint w:val="0"/>
        <w:vanish w:val="0"/>
        <w:color w:val="auto"/>
        <w:spacing w:val="0"/>
        <w:w w:val="100"/>
        <w:kern w:val="0"/>
        <w:position w:val="0"/>
        <w:sz w:val="20"/>
        <w:szCs w:val="20"/>
        <w:u w:val="none"/>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107F1834"/>
    <w:multiLevelType w:val="hybridMultilevel"/>
    <w:tmpl w:val="44C0F8BC"/>
    <w:lvl w:ilvl="0" w:tplc="89D0569C">
      <w:start w:val="1"/>
      <w:numFmt w:val="bullet"/>
      <w:lvlText w:val="·"/>
      <w:lvlJc w:val="left"/>
      <w:pPr>
        <w:tabs>
          <w:tab w:val="num" w:pos="360"/>
        </w:tabs>
        <w:ind w:left="360" w:hanging="360"/>
      </w:pPr>
      <w:rPr>
        <w:rFonts w:ascii="Arial" w:hAnsi="Arial" w:cs="Times New Roman" w:hint="default"/>
        <w:b w:val="0"/>
        <w:i w:val="0"/>
        <w:caps w:val="0"/>
        <w:strike w:val="0"/>
        <w:dstrike w:val="0"/>
        <w:outline w:val="0"/>
        <w:shadow w:val="0"/>
        <w:emboss w:val="0"/>
        <w:imprint w:val="0"/>
        <w:vanish w:val="0"/>
        <w:color w:val="auto"/>
        <w:spacing w:val="0"/>
        <w:w w:val="100"/>
        <w:kern w:val="0"/>
        <w:position w:val="0"/>
        <w:sz w:val="20"/>
        <w:szCs w:val="20"/>
        <w:u w:val="none"/>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45062A6"/>
    <w:multiLevelType w:val="singleLevel"/>
    <w:tmpl w:val="C5943240"/>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4">
    <w:nsid w:val="1A1E2F28"/>
    <w:multiLevelType w:val="hybridMultilevel"/>
    <w:tmpl w:val="6A024008"/>
    <w:lvl w:ilvl="0" w:tplc="1564F3CC">
      <w:start w:val="1"/>
      <w:numFmt w:val="bullet"/>
      <w:pStyle w:val="Listbullet"/>
      <w:lvlText w:val="•"/>
      <w:lvlJc w:val="left"/>
      <w:pPr>
        <w:tabs>
          <w:tab w:val="num" w:pos="360"/>
        </w:tabs>
        <w:ind w:left="360" w:hanging="360"/>
      </w:pPr>
      <w:rPr>
        <w:rFonts w:ascii="Arial" w:hAnsi="Arial" w:hint="default"/>
        <w:b w:val="0"/>
        <w:i w:val="0"/>
        <w:caps w:val="0"/>
        <w:strike w:val="0"/>
        <w:dstrike w:val="0"/>
        <w:outline w:val="0"/>
        <w:shadow w:val="0"/>
        <w:emboss w:val="0"/>
        <w:imprint w:val="0"/>
        <w:vanish w:val="0"/>
        <w:color w:val="auto"/>
        <w:spacing w:val="0"/>
        <w:w w:val="100"/>
        <w:kern w:val="0"/>
        <w:position w:val="0"/>
        <w:sz w:val="20"/>
        <w:szCs w:val="20"/>
        <w:u w:val="none"/>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20E530F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7276139"/>
    <w:multiLevelType w:val="multilevel"/>
    <w:tmpl w:val="D37A8332"/>
    <w:lvl w:ilvl="0">
      <w:start w:val="1"/>
      <w:numFmt w:val="bullet"/>
      <w:lvlText w:val="•"/>
      <w:lvlJc w:val="left"/>
      <w:pPr>
        <w:tabs>
          <w:tab w:val="num" w:pos="360"/>
        </w:tabs>
        <w:ind w:left="360" w:hanging="360"/>
      </w:pPr>
      <w:rPr>
        <w:rFonts w:ascii="Arial" w:hAnsi="Arial" w:hint="default"/>
        <w:b w:val="0"/>
        <w:i w:val="0"/>
        <w:caps w:val="0"/>
        <w:strike w:val="0"/>
        <w:dstrike w:val="0"/>
        <w:outline w:val="0"/>
        <w:shadow w:val="0"/>
        <w:emboss w:val="0"/>
        <w:imprint w:val="0"/>
        <w:vanish w:val="0"/>
        <w:color w:val="auto"/>
        <w:spacing w:val="0"/>
        <w:w w:val="100"/>
        <w:kern w:val="0"/>
        <w:position w:val="0"/>
        <w:sz w:val="24"/>
        <w:szCs w:val="24"/>
        <w:u w:val="none"/>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C121B40"/>
    <w:multiLevelType w:val="multilevel"/>
    <w:tmpl w:val="93CEF010"/>
    <w:lvl w:ilvl="0">
      <w:start w:val="1"/>
      <w:numFmt w:val="bullet"/>
      <w:lvlText w:val="•"/>
      <w:lvlJc w:val="left"/>
      <w:pPr>
        <w:tabs>
          <w:tab w:val="num" w:pos="360"/>
        </w:tabs>
        <w:ind w:left="360" w:hanging="360"/>
      </w:pPr>
      <w:rPr>
        <w:rFonts w:ascii="Arial" w:hAnsi="Arial" w:hint="default"/>
        <w:b w:val="0"/>
        <w:i w:val="0"/>
        <w:caps w:val="0"/>
        <w:strike w:val="0"/>
        <w:dstrike w:val="0"/>
        <w:outline w:val="0"/>
        <w:shadow w:val="0"/>
        <w:emboss w:val="0"/>
        <w:imprint w:val="0"/>
        <w:vanish w:val="0"/>
        <w:color w:val="auto"/>
        <w:spacing w:val="0"/>
        <w:w w:val="100"/>
        <w:kern w:val="0"/>
        <w:position w:val="0"/>
        <w:sz w:val="20"/>
        <w:szCs w:val="20"/>
        <w:u w:val="none"/>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1E174BB"/>
    <w:multiLevelType w:val="hybridMultilevel"/>
    <w:tmpl w:val="136210FC"/>
    <w:lvl w:ilvl="0" w:tplc="06A2DFD6">
      <w:start w:val="1"/>
      <w:numFmt w:val="bullet"/>
      <w:pStyle w:val="Listrule"/>
      <w:lvlText w:val=""/>
      <w:lvlJc w:val="left"/>
      <w:pPr>
        <w:tabs>
          <w:tab w:val="num" w:pos="700"/>
        </w:tabs>
        <w:ind w:left="7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3D7D45"/>
    <w:multiLevelType w:val="multilevel"/>
    <w:tmpl w:val="4FFE3CCC"/>
    <w:lvl w:ilvl="0">
      <w:start w:val="1"/>
      <w:numFmt w:val="bullet"/>
      <w:lvlText w:val="·"/>
      <w:lvlJc w:val="left"/>
      <w:pPr>
        <w:tabs>
          <w:tab w:val="num" w:pos="360"/>
        </w:tabs>
        <w:ind w:left="360" w:hanging="360"/>
      </w:pPr>
      <w:rPr>
        <w:rFonts w:ascii="Arial" w:hAnsi="Arial" w:cs="Times New Roman" w:hint="default"/>
        <w:b w:val="0"/>
        <w:i w:val="0"/>
        <w:caps w:val="0"/>
        <w:strike w:val="0"/>
        <w:dstrike w:val="0"/>
        <w:outline w:val="0"/>
        <w:shadow w:val="0"/>
        <w:emboss w:val="0"/>
        <w:imprint w:val="0"/>
        <w:vanish w:val="0"/>
        <w:color w:val="auto"/>
        <w:spacing w:val="0"/>
        <w:w w:val="100"/>
        <w:kern w:val="0"/>
        <w:position w:val="0"/>
        <w:sz w:val="20"/>
        <w:szCs w:val="20"/>
        <w:u w:val="none"/>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8"/>
  </w:num>
  <w:num w:numId="4">
    <w:abstractNumId w:val="2"/>
  </w:num>
  <w:num w:numId="5">
    <w:abstractNumId w:val="9"/>
  </w:num>
  <w:num w:numId="6">
    <w:abstractNumId w:val="1"/>
  </w:num>
  <w:num w:numId="7">
    <w:abstractNumId w:val="7"/>
  </w:num>
  <w:num w:numId="8">
    <w:abstractNumId w:val="4"/>
  </w:num>
  <w:num w:numId="9">
    <w:abstractNumId w:val="5"/>
  </w:num>
  <w:num w:numId="10">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1">
      <o:colormenu v:ext="edit" fillcolor="none"/>
    </o:shapedefaults>
  </w:hdrShapeDefaults>
  <w:footnotePr>
    <w:footnote w:id="-1"/>
    <w:footnote w:id="0"/>
  </w:footnotePr>
  <w:endnotePr>
    <w:endnote w:id="-1"/>
    <w:endnote w:id="0"/>
  </w:endnotePr>
  <w:compat/>
  <w:rsids>
    <w:rsidRoot w:val="006A1233"/>
    <w:rsid w:val="00017B47"/>
    <w:rsid w:val="0002708B"/>
    <w:rsid w:val="000948D0"/>
    <w:rsid w:val="000A377A"/>
    <w:rsid w:val="00110A12"/>
    <w:rsid w:val="00165439"/>
    <w:rsid w:val="001D5F3F"/>
    <w:rsid w:val="00240BA2"/>
    <w:rsid w:val="0025291A"/>
    <w:rsid w:val="00280A88"/>
    <w:rsid w:val="002A2D9E"/>
    <w:rsid w:val="002E145F"/>
    <w:rsid w:val="00325E55"/>
    <w:rsid w:val="00337EC7"/>
    <w:rsid w:val="003449C5"/>
    <w:rsid w:val="0034529B"/>
    <w:rsid w:val="003F513C"/>
    <w:rsid w:val="00400703"/>
    <w:rsid w:val="004014E7"/>
    <w:rsid w:val="0042323C"/>
    <w:rsid w:val="00481569"/>
    <w:rsid w:val="004D032E"/>
    <w:rsid w:val="0051360E"/>
    <w:rsid w:val="00526AC6"/>
    <w:rsid w:val="00553D16"/>
    <w:rsid w:val="005B03C6"/>
    <w:rsid w:val="005F3D43"/>
    <w:rsid w:val="0064194F"/>
    <w:rsid w:val="006635E9"/>
    <w:rsid w:val="006671D6"/>
    <w:rsid w:val="006A1233"/>
    <w:rsid w:val="006B4ECD"/>
    <w:rsid w:val="006D11FA"/>
    <w:rsid w:val="006F2967"/>
    <w:rsid w:val="00701701"/>
    <w:rsid w:val="0071393C"/>
    <w:rsid w:val="007724AF"/>
    <w:rsid w:val="00781F3A"/>
    <w:rsid w:val="007B7EB6"/>
    <w:rsid w:val="00853DDF"/>
    <w:rsid w:val="00885160"/>
    <w:rsid w:val="008B6756"/>
    <w:rsid w:val="008C1632"/>
    <w:rsid w:val="008C68B7"/>
    <w:rsid w:val="008E5337"/>
    <w:rsid w:val="00964A95"/>
    <w:rsid w:val="00982124"/>
    <w:rsid w:val="009835D3"/>
    <w:rsid w:val="009B09C7"/>
    <w:rsid w:val="009F0EA5"/>
    <w:rsid w:val="009F7564"/>
    <w:rsid w:val="00A00A75"/>
    <w:rsid w:val="00A03857"/>
    <w:rsid w:val="00A72457"/>
    <w:rsid w:val="00A92BF0"/>
    <w:rsid w:val="00B018FC"/>
    <w:rsid w:val="00B20E6C"/>
    <w:rsid w:val="00B52F5C"/>
    <w:rsid w:val="00B81443"/>
    <w:rsid w:val="00BA11EF"/>
    <w:rsid w:val="00BD3FF4"/>
    <w:rsid w:val="00BD51C0"/>
    <w:rsid w:val="00C53F5F"/>
    <w:rsid w:val="00C76383"/>
    <w:rsid w:val="00CD1350"/>
    <w:rsid w:val="00D054B8"/>
    <w:rsid w:val="00D40807"/>
    <w:rsid w:val="00D673A9"/>
    <w:rsid w:val="00D734C0"/>
    <w:rsid w:val="00D87190"/>
    <w:rsid w:val="00DC6D62"/>
    <w:rsid w:val="00DF0200"/>
    <w:rsid w:val="00E63BA9"/>
    <w:rsid w:val="00EC5C4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32E"/>
    <w:rPr>
      <w:rFonts w:ascii="Arial" w:hAnsi="Arial"/>
      <w:lang w:eastAsia="en-US"/>
    </w:rPr>
  </w:style>
  <w:style w:type="paragraph" w:styleId="Heading1">
    <w:name w:val="heading 1"/>
    <w:basedOn w:val="Normal"/>
    <w:next w:val="Normal"/>
    <w:qFormat/>
    <w:rsid w:val="006671D6"/>
    <w:pPr>
      <w:keepNext/>
      <w:pBdr>
        <w:top w:val="single" w:sz="4" w:space="8" w:color="auto"/>
      </w:pBdr>
      <w:spacing w:before="160" w:after="120" w:line="320" w:lineRule="exact"/>
      <w:outlineLvl w:val="0"/>
    </w:pPr>
    <w:rPr>
      <w:b/>
      <w:sz w:val="28"/>
    </w:rPr>
  </w:style>
  <w:style w:type="paragraph" w:styleId="Heading2">
    <w:name w:val="heading 2"/>
    <w:basedOn w:val="Normal"/>
    <w:next w:val="Normal"/>
    <w:qFormat/>
    <w:rsid w:val="00337EC7"/>
    <w:pPr>
      <w:keepNext/>
      <w:spacing w:before="40" w:after="120" w:line="250" w:lineRule="exact"/>
      <w:outlineLvl w:val="1"/>
    </w:pPr>
    <w:rPr>
      <w:rFonts w:ascii="Arial Black" w:hAnsi="Arial Black"/>
      <w:sz w:val="22"/>
    </w:rPr>
  </w:style>
  <w:style w:type="paragraph" w:styleId="Heading3">
    <w:name w:val="heading 3"/>
    <w:basedOn w:val="Normal"/>
    <w:next w:val="Normal"/>
    <w:qFormat/>
    <w:rsid w:val="00337EC7"/>
    <w:pPr>
      <w:keepNext/>
      <w:spacing w:before="40" w:after="120" w:line="250" w:lineRule="exact"/>
      <w:outlineLvl w:val="2"/>
    </w:pPr>
    <w:rPr>
      <w:b/>
      <w:i/>
    </w:rPr>
  </w:style>
  <w:style w:type="paragraph" w:styleId="Heading4">
    <w:name w:val="heading 4"/>
    <w:basedOn w:val="Normal"/>
    <w:next w:val="Normal"/>
    <w:qFormat/>
    <w:rsid w:val="006B4ECD"/>
    <w:pPr>
      <w:keepNext/>
      <w:spacing w:after="120" w:line="240" w:lineRule="exac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0A12"/>
    <w:pPr>
      <w:tabs>
        <w:tab w:val="center" w:pos="4153"/>
        <w:tab w:val="right" w:pos="8306"/>
      </w:tabs>
    </w:pPr>
  </w:style>
  <w:style w:type="paragraph" w:styleId="Footer">
    <w:name w:val="footer"/>
    <w:basedOn w:val="Normal"/>
    <w:rsid w:val="00853DDF"/>
    <w:pPr>
      <w:tabs>
        <w:tab w:val="center" w:pos="4320"/>
        <w:tab w:val="right" w:pos="8640"/>
      </w:tabs>
    </w:pPr>
  </w:style>
  <w:style w:type="paragraph" w:customStyle="1" w:styleId="Listbullet">
    <w:name w:val="List bullet"/>
    <w:basedOn w:val="Normal"/>
    <w:rsid w:val="00964A95"/>
    <w:pPr>
      <w:numPr>
        <w:numId w:val="8"/>
      </w:numPr>
      <w:spacing w:after="100" w:line="230" w:lineRule="exact"/>
    </w:pPr>
  </w:style>
  <w:style w:type="paragraph" w:customStyle="1" w:styleId="Fullout">
    <w:name w:val="Fullout"/>
    <w:basedOn w:val="Normal"/>
    <w:link w:val="FulloutChar"/>
    <w:rsid w:val="00C76383"/>
    <w:pPr>
      <w:spacing w:after="100" w:line="230" w:lineRule="exact"/>
    </w:pPr>
  </w:style>
  <w:style w:type="paragraph" w:customStyle="1" w:styleId="TipBox">
    <w:name w:val="Tip Box"/>
    <w:basedOn w:val="Normal"/>
    <w:rsid w:val="00B52F5C"/>
    <w:pPr>
      <w:pBdr>
        <w:top w:val="single" w:sz="4" w:space="3" w:color="auto"/>
        <w:left w:val="single" w:sz="4" w:space="3" w:color="auto"/>
        <w:bottom w:val="single" w:sz="4" w:space="3" w:color="auto"/>
        <w:right w:val="single" w:sz="4" w:space="3" w:color="auto"/>
      </w:pBdr>
      <w:spacing w:after="100" w:line="230" w:lineRule="exact"/>
    </w:pPr>
  </w:style>
  <w:style w:type="character" w:customStyle="1" w:styleId="TIPCAPS">
    <w:name w:val="TIP CAPS"/>
    <w:basedOn w:val="DefaultParagraphFont"/>
    <w:rsid w:val="009B09C7"/>
    <w:rPr>
      <w:rFonts w:ascii="Arial" w:hAnsi="Arial"/>
      <w:b/>
      <w:caps/>
      <w:sz w:val="20"/>
    </w:rPr>
  </w:style>
  <w:style w:type="paragraph" w:customStyle="1" w:styleId="Listrule">
    <w:name w:val="List rule"/>
    <w:basedOn w:val="Listbullet"/>
    <w:rsid w:val="009B09C7"/>
    <w:pPr>
      <w:numPr>
        <w:numId w:val="3"/>
      </w:numPr>
      <w:ind w:left="714" w:hanging="357"/>
    </w:pPr>
  </w:style>
  <w:style w:type="character" w:customStyle="1" w:styleId="FulloutChar">
    <w:name w:val="Fullout Char"/>
    <w:basedOn w:val="DefaultParagraphFont"/>
    <w:link w:val="Fullout"/>
    <w:rsid w:val="00C76383"/>
    <w:rPr>
      <w:rFonts w:ascii="Arial" w:hAnsi="Arial"/>
      <w:lang w:eastAsia="en-US"/>
    </w:rPr>
  </w:style>
  <w:style w:type="paragraph" w:styleId="BalloonText">
    <w:name w:val="Balloon Text"/>
    <w:basedOn w:val="Normal"/>
    <w:link w:val="BalloonTextChar"/>
    <w:rsid w:val="007B7EB6"/>
    <w:rPr>
      <w:rFonts w:ascii="Tahoma" w:hAnsi="Tahoma" w:cs="Tahoma"/>
      <w:sz w:val="16"/>
      <w:szCs w:val="16"/>
    </w:rPr>
  </w:style>
  <w:style w:type="character" w:customStyle="1" w:styleId="BalloonTextChar">
    <w:name w:val="Balloon Text Char"/>
    <w:basedOn w:val="DefaultParagraphFont"/>
    <w:link w:val="BalloonText"/>
    <w:rsid w:val="007B7EB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Client%20Alert\XX16C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7E4301-E2E1-4A34-8A23-F08086F89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XX16CA.dot</Template>
  <TotalTime>3</TotalTime>
  <Pages>2</Pages>
  <Words>1309</Words>
  <Characters>7193</Characters>
  <Application>Microsoft Office Word</Application>
  <DocSecurity>0</DocSecurity>
  <Lines>104</Lines>
  <Paragraphs>40</Paragraphs>
  <ScaleCrop>false</ScaleCrop>
  <HeadingPairs>
    <vt:vector size="2" baseType="variant">
      <vt:variant>
        <vt:lpstr>Title</vt:lpstr>
      </vt:variant>
      <vt:variant>
        <vt:i4>1</vt:i4>
      </vt:variant>
    </vt:vector>
  </HeadingPairs>
  <TitlesOfParts>
    <vt:vector size="1" baseType="lpstr">
      <vt:lpstr>Client Alert</vt:lpstr>
    </vt:vector>
  </TitlesOfParts>
  <Company>Thomson Reuters</Company>
  <LinksUpToDate>false</LinksUpToDate>
  <CharactersWithSpaces>8462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Alert</dc:title>
  <dc:creator>Cassandra Ball</dc:creator>
  <cp:lastModifiedBy>Cassandra Ball</cp:lastModifiedBy>
  <cp:revision>3</cp:revision>
  <cp:lastPrinted>2010-02-22T21:36:00Z</cp:lastPrinted>
  <dcterms:created xsi:type="dcterms:W3CDTF">2017-02-19T02:34:00Z</dcterms:created>
  <dcterms:modified xsi:type="dcterms:W3CDTF">2017-02-19T02:49:00Z</dcterms:modified>
</cp:coreProperties>
</file>